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D8ABC5">
      <w:pPr>
        <w:ind w:firstLine="0" w:firstLineChars="0"/>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经开区茶园大道以南片区污水管网改造工程（建工学院东站校区段）</w:t>
      </w:r>
    </w:p>
    <w:p w14:paraId="5CE6D8FD">
      <w:pPr>
        <w:ind w:firstLine="0" w:firstLineChars="0"/>
        <w:jc w:val="center"/>
        <w:rPr>
          <w:rFonts w:hint="eastAsia" w:ascii="仿宋" w:hAnsi="仿宋" w:eastAsia="仿宋" w:cs="仿宋"/>
          <w:b/>
          <w:color w:val="auto"/>
          <w:kern w:val="0"/>
          <w:sz w:val="32"/>
          <w:szCs w:val="32"/>
          <w:highlight w:val="none"/>
        </w:rPr>
        <w:sectPr>
          <w:headerReference r:id="rId5" w:type="default"/>
          <w:footerReference r:id="rId6" w:type="default"/>
          <w:pgSz w:w="23811" w:h="16838" w:orient="landscape"/>
          <w:pgMar w:top="1800" w:right="1440" w:bottom="1800" w:left="1440" w:header="283" w:footer="283" w:gutter="0"/>
          <w:cols w:space="425" w:num="1"/>
          <w:docGrid w:type="lines" w:linePitch="381" w:charSpace="0"/>
        </w:sectPr>
      </w:pPr>
      <w:r>
        <w:rPr>
          <w:rFonts w:hint="eastAsia" w:ascii="仿宋" w:hAnsi="仿宋" w:eastAsia="仿宋" w:cs="仿宋"/>
          <w:b/>
          <w:color w:val="auto"/>
          <w:kern w:val="0"/>
          <w:sz w:val="32"/>
          <w:szCs w:val="32"/>
          <w:highlight w:val="none"/>
        </w:rPr>
        <w:t>施工图设计说明</w:t>
      </w:r>
      <w:bookmarkStart w:id="0" w:name="_Toc6170497"/>
    </w:p>
    <w:p w14:paraId="1CD21FE7">
      <w:pPr>
        <w:pStyle w:val="35"/>
        <w:numPr>
          <w:ilvl w:val="0"/>
          <w:numId w:val="1"/>
        </w:numPr>
        <w:adjustRightInd w:val="0"/>
        <w:snapToGrid w:val="0"/>
        <w:ind w:firstLineChars="0"/>
        <w:outlineLvl w:val="0"/>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概述</w:t>
      </w:r>
    </w:p>
    <w:p w14:paraId="41F3452B">
      <w:pPr>
        <w:pStyle w:val="6"/>
        <w:ind w:firstLine="560"/>
        <w:rPr>
          <w:rFonts w:hint="eastAsia" w:ascii="仿宋" w:hAnsi="仿宋" w:eastAsia="仿宋" w:cs="仿宋"/>
          <w:color w:val="auto"/>
          <w:highlight w:val="none"/>
        </w:rPr>
      </w:pPr>
      <w:r>
        <w:rPr>
          <w:rFonts w:hint="eastAsia" w:ascii="仿宋" w:hAnsi="仿宋" w:eastAsia="仿宋" w:cs="仿宋"/>
          <w:color w:val="auto"/>
          <w:highlight w:val="none"/>
        </w:rPr>
        <w:t>本项目建设地点为重庆市经开区，经开区位于重庆主城九区中“黄金三角”地带，是从“长江黄金水道”下游进入主城的门户，辖区东港港区是重庆市规划的7个国家级物流枢纽平台之一，是主城区沿江布局的4个枢纽港区中唯一布局在江南的港口。区内重庆高铁东站(目前已确定有渝湘高铁、沿江高铁、渝西高铁、渝万高铁、渝贵高铁等线路通过)、枢纽东环线(客、货两运)建成后，将融入重庆铁路枢纽网，形成公路、铁路、水运共存的综合立体交通体系，实现铁、公、水联运，保障企业运作高时效，物流集散无延滞。</w:t>
      </w:r>
    </w:p>
    <w:p w14:paraId="0F7A1206">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1.1工程概况</w:t>
      </w:r>
    </w:p>
    <w:p w14:paraId="665DDBBE">
      <w:pPr>
        <w:pStyle w:val="6"/>
        <w:ind w:firstLine="560"/>
        <w:rPr>
          <w:rFonts w:hint="eastAsia" w:ascii="仿宋" w:hAnsi="仿宋" w:eastAsia="仿宋" w:cs="仿宋"/>
          <w:color w:val="auto"/>
          <w:highlight w:val="none"/>
        </w:rPr>
      </w:pPr>
      <w:r>
        <w:rPr>
          <w:rFonts w:hint="eastAsia" w:ascii="仿宋" w:hAnsi="仿宋" w:eastAsia="仿宋" w:cs="仿宋"/>
          <w:color w:val="auto"/>
          <w:highlight w:val="none"/>
        </w:rPr>
        <w:t>项目名称：经开区茶园大道以南片区污水管网改造工程（建工学院东站校区段）。</w:t>
      </w:r>
    </w:p>
    <w:p w14:paraId="7230A2FE">
      <w:pPr>
        <w:pStyle w:val="6"/>
        <w:ind w:firstLine="560"/>
        <w:rPr>
          <w:rFonts w:hint="eastAsia" w:ascii="仿宋" w:hAnsi="仿宋" w:eastAsia="仿宋" w:cs="仿宋"/>
          <w:color w:val="auto"/>
          <w:highlight w:val="none"/>
        </w:rPr>
      </w:pPr>
      <w:r>
        <w:rPr>
          <w:rFonts w:hint="eastAsia" w:ascii="仿宋" w:hAnsi="仿宋" w:eastAsia="仿宋" w:cs="仿宋"/>
          <w:color w:val="auto"/>
          <w:highlight w:val="none"/>
        </w:rPr>
        <w:t>项目性质：</w:t>
      </w:r>
      <w:r>
        <w:rPr>
          <w:rFonts w:hint="eastAsia" w:ascii="仿宋" w:hAnsi="仿宋" w:eastAsia="仿宋" w:cs="仿宋"/>
          <w:color w:val="auto"/>
          <w:highlight w:val="none"/>
          <w:lang w:eastAsia="zh-CN"/>
        </w:rPr>
        <w:t>新</w:t>
      </w:r>
      <w:r>
        <w:rPr>
          <w:rFonts w:hint="eastAsia" w:ascii="仿宋" w:hAnsi="仿宋" w:eastAsia="仿宋" w:cs="仿宋"/>
          <w:color w:val="auto"/>
          <w:highlight w:val="none"/>
        </w:rPr>
        <w:t>建项目。</w:t>
      </w:r>
    </w:p>
    <w:p w14:paraId="157F07FF">
      <w:pPr>
        <w:pStyle w:val="6"/>
        <w:ind w:firstLine="560"/>
        <w:rPr>
          <w:rFonts w:hint="eastAsia" w:ascii="仿宋" w:hAnsi="仿宋" w:eastAsia="仿宋" w:cs="仿宋"/>
          <w:color w:val="auto"/>
          <w:highlight w:val="none"/>
        </w:rPr>
      </w:pPr>
      <w:r>
        <w:rPr>
          <w:rFonts w:hint="eastAsia" w:ascii="仿宋" w:hAnsi="仿宋" w:eastAsia="仿宋" w:cs="仿宋"/>
          <w:color w:val="auto"/>
          <w:highlight w:val="none"/>
        </w:rPr>
        <w:t>项目业主：重庆经开区投资集团有限公司。</w:t>
      </w:r>
    </w:p>
    <w:p w14:paraId="1302F723">
      <w:pPr>
        <w:pStyle w:val="6"/>
        <w:ind w:firstLine="560"/>
        <w:rPr>
          <w:rFonts w:hint="eastAsia" w:ascii="仿宋" w:hAnsi="仿宋" w:eastAsia="仿宋" w:cs="仿宋"/>
          <w:color w:val="auto"/>
          <w:highlight w:val="none"/>
        </w:rPr>
      </w:pPr>
      <w:r>
        <w:rPr>
          <w:rFonts w:hint="eastAsia" w:ascii="仿宋" w:hAnsi="仿宋" w:eastAsia="仿宋" w:cs="仿宋"/>
          <w:color w:val="auto"/>
          <w:highlight w:val="none"/>
        </w:rPr>
        <w:t>代建业主：重庆经开区开发建设有限公司。</w:t>
      </w:r>
    </w:p>
    <w:p w14:paraId="3C5D4459">
      <w:pPr>
        <w:pStyle w:val="6"/>
        <w:ind w:firstLine="560"/>
        <w:rPr>
          <w:rFonts w:hint="eastAsia" w:ascii="仿宋" w:hAnsi="仿宋" w:eastAsia="仿宋" w:cs="仿宋"/>
          <w:color w:val="auto"/>
          <w:highlight w:val="none"/>
        </w:rPr>
      </w:pPr>
      <w:r>
        <w:rPr>
          <w:rFonts w:hint="eastAsia" w:ascii="仿宋" w:hAnsi="仿宋" w:eastAsia="仿宋" w:cs="仿宋"/>
          <w:color w:val="auto"/>
          <w:highlight w:val="none"/>
        </w:rPr>
        <w:t>建设地址：经开区茶园大道以南片区建工学院。</w:t>
      </w:r>
    </w:p>
    <w:p w14:paraId="3F667470">
      <w:pPr>
        <w:pStyle w:val="6"/>
        <w:ind w:firstLine="560"/>
        <w:rPr>
          <w:rFonts w:hint="eastAsia" w:ascii="仿宋" w:hAnsi="仿宋" w:eastAsia="仿宋" w:cs="仿宋"/>
          <w:color w:val="auto"/>
          <w:highlight w:val="none"/>
        </w:rPr>
      </w:pPr>
      <w:r>
        <w:rPr>
          <w:rFonts w:hint="eastAsia" w:ascii="仿宋" w:hAnsi="仿宋" w:eastAsia="仿宋" w:cs="仿宋"/>
          <w:color w:val="auto"/>
          <w:highlight w:val="none"/>
        </w:rPr>
        <w:t>建设规模及工程范围：本项目为经开区茶园大道以南片区污水管网改造工程（建工学院东站校区段），拟建d400污水管网155m，d600雨水管网19m，起点始于建工职业学院东入口位置，终点止于茶园大道，同时</w:t>
      </w:r>
      <w:r>
        <w:rPr>
          <w:rFonts w:hint="eastAsia" w:ascii="仿宋" w:hAnsi="仿宋" w:eastAsia="仿宋" w:cs="仿宋"/>
          <w:color w:val="auto"/>
          <w:highlight w:val="none"/>
          <w:lang w:eastAsia="zh-CN"/>
        </w:rPr>
        <w:t>为修建</w:t>
      </w:r>
      <w:r>
        <w:rPr>
          <w:rFonts w:hint="eastAsia" w:ascii="仿宋" w:hAnsi="仿宋" w:eastAsia="仿宋" w:cs="仿宋"/>
          <w:color w:val="auto"/>
          <w:highlight w:val="none"/>
        </w:rPr>
        <w:t>雨污管网</w:t>
      </w:r>
      <w:r>
        <w:rPr>
          <w:rFonts w:hint="eastAsia" w:ascii="仿宋" w:hAnsi="仿宋" w:eastAsia="仿宋" w:cs="仿宋"/>
          <w:color w:val="auto"/>
          <w:highlight w:val="none"/>
          <w:lang w:eastAsia="zh-CN"/>
        </w:rPr>
        <w:t>，</w:t>
      </w:r>
      <w:r>
        <w:rPr>
          <w:rFonts w:hint="eastAsia" w:ascii="仿宋" w:hAnsi="仿宋" w:eastAsia="仿宋" w:cs="仿宋"/>
          <w:color w:val="auto"/>
          <w:highlight w:val="none"/>
        </w:rPr>
        <w:t>在建工职业学院东入口位置，自南向北修建宽5.0m的临时便道接入茶园大道辅道，便道全长约319.687m，道路等级采用四级公路Ⅱ级</w:t>
      </w:r>
      <w:r>
        <w:rPr>
          <w:rFonts w:hint="eastAsia" w:ascii="仿宋" w:hAnsi="仿宋" w:eastAsia="仿宋" w:cs="仿宋"/>
          <w:color w:val="auto"/>
          <w:highlight w:val="none"/>
          <w:lang w:val="en-US" w:eastAsia="zh-CN"/>
        </w:rPr>
        <w:t>,</w:t>
      </w:r>
      <w:r>
        <w:rPr>
          <w:rFonts w:hint="eastAsia" w:ascii="仿宋" w:hAnsi="仿宋" w:eastAsia="仿宋" w:cs="仿宋"/>
          <w:color w:val="auto"/>
          <w:szCs w:val="28"/>
          <w:highlight w:val="none"/>
        </w:rPr>
        <w:t>设计速度15km/h</w:t>
      </w:r>
      <w:r>
        <w:rPr>
          <w:rFonts w:hint="eastAsia" w:ascii="仿宋" w:hAnsi="仿宋" w:eastAsia="仿宋" w:cs="仿宋"/>
          <w:color w:val="auto"/>
          <w:highlight w:val="none"/>
        </w:rPr>
        <w:t>。</w:t>
      </w:r>
    </w:p>
    <w:p w14:paraId="69E880FD">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1.2设计依据</w:t>
      </w:r>
      <w:bookmarkEnd w:id="0"/>
    </w:p>
    <w:p w14:paraId="2834D349">
      <w:pPr>
        <w:adjustRightInd w:val="0"/>
        <w:ind w:firstLine="562"/>
        <w:contextualSpacing/>
        <w:outlineLvl w:val="2"/>
        <w:rPr>
          <w:rFonts w:hint="eastAsia" w:ascii="仿宋" w:hAnsi="仿宋" w:eastAsia="仿宋" w:cs="仿宋"/>
          <w:b/>
          <w:bCs/>
          <w:color w:val="auto"/>
          <w:szCs w:val="28"/>
          <w:highlight w:val="none"/>
        </w:rPr>
      </w:pPr>
      <w:bookmarkStart w:id="1" w:name="_Toc6170498"/>
      <w:r>
        <w:rPr>
          <w:rFonts w:hint="eastAsia" w:ascii="仿宋" w:hAnsi="仿宋" w:eastAsia="仿宋" w:cs="仿宋"/>
          <w:b/>
          <w:bCs/>
          <w:color w:val="auto"/>
          <w:szCs w:val="28"/>
          <w:highlight w:val="none"/>
        </w:rPr>
        <w:t>1.2.1设计合同</w:t>
      </w:r>
      <w:bookmarkEnd w:id="1"/>
      <w:r>
        <w:rPr>
          <w:rFonts w:hint="eastAsia" w:ascii="仿宋" w:hAnsi="仿宋" w:eastAsia="仿宋" w:cs="仿宋"/>
          <w:b/>
          <w:bCs/>
          <w:color w:val="auto"/>
          <w:szCs w:val="28"/>
          <w:highlight w:val="none"/>
        </w:rPr>
        <w:t>及基础资料</w:t>
      </w:r>
    </w:p>
    <w:p w14:paraId="24AD78BA">
      <w:pPr>
        <w:pStyle w:val="13"/>
        <w:adjustRightInd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（1）与建设单位签订的设计合同。</w:t>
      </w:r>
    </w:p>
    <w:p w14:paraId="2F303A91">
      <w:pPr>
        <w:pStyle w:val="13"/>
        <w:adjustRightInd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（2）1:500区域地形图。</w:t>
      </w:r>
    </w:p>
    <w:p w14:paraId="334560C1">
      <w:pPr>
        <w:pStyle w:val="13"/>
        <w:adjustRightInd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（3）排水管线勘察资料。</w:t>
      </w:r>
    </w:p>
    <w:p w14:paraId="39EC95CA">
      <w:pPr>
        <w:adjustRightInd w:val="0"/>
        <w:ind w:firstLine="562"/>
        <w:contextualSpacing/>
        <w:outlineLvl w:val="2"/>
        <w:rPr>
          <w:rFonts w:hint="eastAsia" w:ascii="仿宋" w:hAnsi="仿宋" w:eastAsia="仿宋" w:cs="仿宋"/>
          <w:b/>
          <w:bCs/>
          <w:color w:val="auto"/>
          <w:szCs w:val="28"/>
          <w:highlight w:val="none"/>
        </w:rPr>
      </w:pPr>
      <w:bookmarkStart w:id="2" w:name="_Toc6170499"/>
      <w:r>
        <w:rPr>
          <w:rFonts w:hint="eastAsia" w:ascii="仿宋" w:hAnsi="仿宋" w:eastAsia="仿宋" w:cs="仿宋"/>
          <w:b/>
          <w:bCs/>
          <w:color w:val="auto"/>
          <w:szCs w:val="28"/>
          <w:highlight w:val="none"/>
        </w:rPr>
        <w:t>1.2.2相关规范、标准</w:t>
      </w:r>
      <w:bookmarkEnd w:id="2"/>
    </w:p>
    <w:p w14:paraId="4B2885CE">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（1）《城市排水工程规划规范》（GB50318-2017）</w:t>
      </w:r>
    </w:p>
    <w:p w14:paraId="1724F74E">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（2）《室外给水设计标准》（GB50013-2018）</w:t>
      </w:r>
    </w:p>
    <w:p w14:paraId="15982288">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（3）《室外排水设计标准》（GB50014-2021）</w:t>
      </w:r>
    </w:p>
    <w:p w14:paraId="41A89820">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（4）《给水排水工程构筑物结构设计规范》（GB50069-2002）</w:t>
      </w:r>
    </w:p>
    <w:p w14:paraId="7110FE4C">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（5）《给水排水工程管道结构设计规范》（GB50332-2002）</w:t>
      </w:r>
    </w:p>
    <w:p w14:paraId="75E049AC">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（6）《建筑与市政地基基础通用规范》（GB55003-2021）</w:t>
      </w:r>
    </w:p>
    <w:p w14:paraId="667792F1">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（7）《城乡排水工程项目规范》（GB55027-2022）</w:t>
      </w:r>
    </w:p>
    <w:p w14:paraId="4DA2527B">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（8）《城市给水工程项目规范》（GB55026-2022）</w:t>
      </w:r>
    </w:p>
    <w:p w14:paraId="281315E4">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（9）《城市防洪工程设计规范》（GB/T50805-2012）</w:t>
      </w:r>
    </w:p>
    <w:p w14:paraId="06BF9001">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（10）《给排水工程结构物结构设计规范》（GB50069-2002）</w:t>
      </w:r>
    </w:p>
    <w:p w14:paraId="2030DFD4">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（11）《室外给水排水和燃气热力工程抗震设计规范》（GB50032-2003）</w:t>
      </w:r>
    </w:p>
    <w:p w14:paraId="6E38809A">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（12）《城市工程管线综合规划规范》（GB50289-2016）</w:t>
      </w:r>
    </w:p>
    <w:p w14:paraId="35832D48">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（13）《山地城市室外排水管渠设计标准》（DBJ50/T-296-2018）</w:t>
      </w:r>
    </w:p>
    <w:p w14:paraId="4B173B5A">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（14）《建筑工地排水技术标准》（DBJ50/T-404-2021）</w:t>
      </w:r>
    </w:p>
    <w:p w14:paraId="300B215F">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（15）《建筑抗震设计规范》（GB50011-2010）</w:t>
      </w:r>
    </w:p>
    <w:p w14:paraId="4FDC72C7">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（16）《给水排水构筑物工程施工及验收规范》（GB50141-2008）</w:t>
      </w:r>
    </w:p>
    <w:p w14:paraId="2A9DAD5C">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（17）《给水排水管道工程施工及验收规范》（GB 50268-2008）</w:t>
      </w:r>
    </w:p>
    <w:p w14:paraId="6CF7B941">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（18）《工程结构通用规范》（GB55001-2021）</w:t>
      </w:r>
    </w:p>
    <w:p w14:paraId="6BE69C8D">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（19）《建筑与市政工程抗震通用规范》（GB55002-2021）</w:t>
      </w:r>
    </w:p>
    <w:p w14:paraId="48DAD1E9">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（20）《混凝土结构通用规范》（GB55008-2021）</w:t>
      </w:r>
    </w:p>
    <w:p w14:paraId="567289D1">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（21）《建筑与市政工程防水通用规范》（GB55030-2022）</w:t>
      </w:r>
    </w:p>
    <w:p w14:paraId="53AC19B8">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（22）《城市道路施工作业交通组织规范》（GA/T900-2010）</w:t>
      </w:r>
    </w:p>
    <w:p w14:paraId="38D6D4E0">
      <w:pPr>
        <w:ind w:firstLine="560"/>
        <w:rPr>
          <w:rFonts w:hint="eastAsia" w:ascii="仿宋" w:hAnsi="仿宋" w:eastAsia="仿宋" w:cs="仿宋"/>
          <w:color w:val="FF0000"/>
          <w:szCs w:val="28"/>
          <w:highlight w:val="none"/>
        </w:rPr>
      </w:pPr>
      <w:r>
        <w:rPr>
          <w:rFonts w:hint="eastAsia" w:ascii="仿宋" w:hAnsi="仿宋" w:eastAsia="仿宋" w:cs="仿宋"/>
          <w:color w:val="FF0000"/>
          <w:szCs w:val="28"/>
          <w:highlight w:val="none"/>
        </w:rPr>
        <w:t>（23）《重庆市</w:t>
      </w:r>
      <w:r>
        <w:rPr>
          <w:rFonts w:hint="eastAsia" w:ascii="仿宋" w:hAnsi="仿宋" w:eastAsia="仿宋" w:cs="仿宋"/>
          <w:color w:val="FF0000"/>
          <w:szCs w:val="28"/>
          <w:highlight w:val="none"/>
          <w:lang w:val="en-US" w:eastAsia="zh-CN"/>
        </w:rPr>
        <w:t>市政工程</w:t>
      </w:r>
      <w:r>
        <w:rPr>
          <w:rFonts w:hint="eastAsia" w:ascii="仿宋" w:hAnsi="仿宋" w:eastAsia="仿宋" w:cs="仿宋"/>
          <w:color w:val="FF0000"/>
          <w:szCs w:val="28"/>
          <w:highlight w:val="none"/>
        </w:rPr>
        <w:t>施工图设计</w:t>
      </w:r>
      <w:r>
        <w:rPr>
          <w:rFonts w:hint="eastAsia" w:ascii="仿宋" w:hAnsi="仿宋" w:eastAsia="仿宋" w:cs="仿宋"/>
          <w:color w:val="FF0000"/>
          <w:szCs w:val="28"/>
          <w:highlight w:val="none"/>
          <w:lang w:val="en-US" w:eastAsia="zh-CN"/>
        </w:rPr>
        <w:t>文件技术</w:t>
      </w:r>
      <w:r>
        <w:rPr>
          <w:rFonts w:hint="eastAsia" w:ascii="仿宋" w:hAnsi="仿宋" w:eastAsia="仿宋" w:cs="仿宋"/>
          <w:color w:val="FF0000"/>
          <w:szCs w:val="28"/>
          <w:highlight w:val="none"/>
        </w:rPr>
        <w:t>审查要点（</w:t>
      </w:r>
      <w:r>
        <w:rPr>
          <w:rFonts w:hint="eastAsia" w:ascii="仿宋" w:hAnsi="仿宋" w:eastAsia="仿宋" w:cs="仿宋"/>
          <w:color w:val="FF0000"/>
          <w:szCs w:val="28"/>
          <w:highlight w:val="none"/>
          <w:lang w:val="en-US" w:eastAsia="zh-CN"/>
        </w:rPr>
        <w:t>2024</w:t>
      </w:r>
      <w:r>
        <w:rPr>
          <w:rFonts w:hint="eastAsia" w:ascii="仿宋" w:hAnsi="仿宋" w:eastAsia="仿宋" w:cs="仿宋"/>
          <w:color w:val="FF0000"/>
          <w:szCs w:val="28"/>
          <w:highlight w:val="none"/>
        </w:rPr>
        <w:t>）》（重庆市城乡建设委员会</w:t>
      </w:r>
      <w:r>
        <w:rPr>
          <w:rFonts w:hint="eastAsia" w:ascii="仿宋" w:hAnsi="仿宋" w:eastAsia="仿宋" w:cs="仿宋"/>
          <w:color w:val="FF0000"/>
          <w:szCs w:val="28"/>
          <w:highlight w:val="none"/>
          <w:lang w:val="en-US" w:eastAsia="zh-CN"/>
        </w:rPr>
        <w:t>2024.11</w:t>
      </w:r>
      <w:r>
        <w:rPr>
          <w:rFonts w:hint="eastAsia" w:ascii="仿宋" w:hAnsi="仿宋" w:eastAsia="仿宋" w:cs="仿宋"/>
          <w:color w:val="FF0000"/>
          <w:szCs w:val="28"/>
          <w:highlight w:val="none"/>
        </w:rPr>
        <w:t>）</w:t>
      </w:r>
    </w:p>
    <w:p w14:paraId="329B1495">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（24）《关于发布重庆市暴雨强度修订公式及设计暴雨雨型的通知》渝建〔2017〕443号</w:t>
      </w:r>
    </w:p>
    <w:p w14:paraId="2D5C9872">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（25）《危险性较大的分部分项工程安全管理规定》（住建部〔2018〕37号令）</w:t>
      </w:r>
    </w:p>
    <w:p w14:paraId="429F44CA">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（26）《危险性较大的分部分项工程安全管理规定》有关问题的通知（建办质〔2018〕31号）</w:t>
      </w:r>
    </w:p>
    <w:p w14:paraId="26CF45F0">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（27）《关于进一步加强城市排水管网工程建设质量管理工作的通知》（渝建发〔2019〕10号）</w:t>
      </w:r>
    </w:p>
    <w:p w14:paraId="6B032128">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（28）《重庆市建设领域禁止、限制使用落后技术通告（2019年版）》（重庆市住房和城乡建设委员会2019.11.18）</w:t>
      </w:r>
    </w:p>
    <w:p w14:paraId="1F65A230">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（29）《重庆市市政工程施工图设计文件编制技术规定》（重庆城乡建设委员会2017.07）</w:t>
      </w:r>
    </w:p>
    <w:p w14:paraId="1B1F7E02">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（30）《重庆市房屋建筑和市政基础设施工程勘察设计变更管理办法（试行）》（重庆城乡建设委员会2019.03）</w:t>
      </w:r>
    </w:p>
    <w:p w14:paraId="1C217F29">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（31）《有限空间作业安全指导手册》（应急厅函〔2020〕299号）</w:t>
      </w:r>
    </w:p>
    <w:p w14:paraId="7B275879">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（32）《重庆市城市排水设施管理办法》（重庆市人民政府令第81号）</w:t>
      </w:r>
    </w:p>
    <w:p w14:paraId="3E295393">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（33）《工程建设标准强制性条文》（城市建设部分）2013年版</w:t>
      </w:r>
    </w:p>
    <w:p w14:paraId="10F01759">
      <w:pPr>
        <w:adjustRightInd w:val="0"/>
        <w:ind w:firstLine="562"/>
        <w:contextualSpacing/>
        <w:outlineLvl w:val="2"/>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rPr>
        <w:t>1.2.3标准图集</w:t>
      </w:r>
    </w:p>
    <w:p w14:paraId="1D346CFC">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（1）《市政排水管道工程及附属设施》（06MS201）</w:t>
      </w:r>
    </w:p>
    <w:p w14:paraId="61170CB9">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（2）《预制混凝土装配式检查井》（DJBT50-121）</w:t>
      </w:r>
    </w:p>
    <w:p w14:paraId="13537879">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（3）《市政排水管道附属设施标准图集》（DJBT50-159）</w:t>
      </w:r>
    </w:p>
    <w:p w14:paraId="3F2E6C75">
      <w:pPr>
        <w:adjustRightInd w:val="0"/>
        <w:ind w:firstLine="562"/>
        <w:contextualSpacing/>
        <w:outlineLvl w:val="2"/>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rPr>
        <w:t>1.2.4工程设计资料</w:t>
      </w:r>
    </w:p>
    <w:p w14:paraId="59181A0E">
      <w:pPr>
        <w:pStyle w:val="6"/>
        <w:numPr>
          <w:ilvl w:val="0"/>
          <w:numId w:val="2"/>
        </w:numPr>
        <w:ind w:firstLine="562"/>
        <w:rPr>
          <w:rFonts w:ascii="Times New Roman" w:eastAsia="仿宋" w:cs="Times New Roman"/>
          <w:color w:val="auto"/>
          <w:highlight w:val="none"/>
        </w:rPr>
      </w:pPr>
      <w:r>
        <w:rPr>
          <w:rFonts w:ascii="Times New Roman" w:eastAsia="仿宋" w:cs="Times New Roman"/>
          <w:color w:val="auto"/>
          <w:highlight w:val="none"/>
        </w:rPr>
        <w:t>与建设方签定的工程设计合同；</w:t>
      </w:r>
    </w:p>
    <w:p w14:paraId="1DD85D32">
      <w:pPr>
        <w:pStyle w:val="6"/>
        <w:numPr>
          <w:ilvl w:val="0"/>
          <w:numId w:val="2"/>
        </w:numPr>
        <w:ind w:firstLine="562"/>
        <w:rPr>
          <w:rFonts w:ascii="Times New Roman" w:eastAsia="仿宋" w:cs="Times New Roman"/>
          <w:color w:val="auto"/>
          <w:highlight w:val="none"/>
        </w:rPr>
      </w:pPr>
      <w:r>
        <w:rPr>
          <w:rFonts w:hint="eastAsia" w:ascii="Times New Roman" w:eastAsia="仿宋" w:cs="Times New Roman"/>
          <w:color w:val="auto"/>
          <w:highlight w:val="none"/>
        </w:rPr>
        <w:t>《建工职业学院东站校区(</w:t>
      </w:r>
      <w:r>
        <w:rPr>
          <w:rFonts w:hint="eastAsia" w:ascii="Times New Roman" w:eastAsia="仿宋" w:cs="Times New Roman"/>
          <w:color w:val="auto"/>
          <w:highlight w:val="none"/>
          <w:lang w:val="en-US" w:eastAsia="zh-CN"/>
        </w:rPr>
        <w:t>一</w:t>
      </w:r>
      <w:r>
        <w:rPr>
          <w:rFonts w:hint="eastAsia" w:ascii="Times New Roman" w:eastAsia="仿宋" w:cs="Times New Roman"/>
          <w:color w:val="auto"/>
          <w:highlight w:val="none"/>
        </w:rPr>
        <w:t>期)配套道路工程》（重庆路威土木工程设计有限公司2023.09）</w:t>
      </w:r>
    </w:p>
    <w:p w14:paraId="7395B4C2">
      <w:pPr>
        <w:pStyle w:val="6"/>
        <w:numPr>
          <w:ilvl w:val="0"/>
          <w:numId w:val="2"/>
        </w:numPr>
        <w:ind w:firstLine="562"/>
        <w:rPr>
          <w:rFonts w:ascii="Times New Roman" w:eastAsia="仿宋" w:cs="Times New Roman"/>
          <w:color w:val="auto"/>
          <w:highlight w:val="none"/>
        </w:rPr>
      </w:pPr>
      <w:r>
        <w:rPr>
          <w:rFonts w:hint="eastAsia" w:ascii="Times New Roman" w:eastAsia="仿宋" w:cs="Times New Roman"/>
          <w:color w:val="auto"/>
          <w:highlight w:val="none"/>
        </w:rPr>
        <w:t>《重庆建筑工程职业学院东站校区建设项目（一期）》（中国建筑西南设计研究院有限公司2024.10）</w:t>
      </w:r>
    </w:p>
    <w:p w14:paraId="2D97C3F1">
      <w:pPr>
        <w:pStyle w:val="6"/>
        <w:numPr>
          <w:ilvl w:val="0"/>
          <w:numId w:val="2"/>
        </w:numPr>
        <w:ind w:firstLine="562"/>
        <w:rPr>
          <w:rFonts w:ascii="Times New Roman" w:eastAsia="仿宋" w:cs="Times New Roman"/>
          <w:b/>
          <w:bCs/>
          <w:color w:val="FF0000"/>
          <w:highlight w:val="none"/>
        </w:rPr>
      </w:pPr>
      <w:r>
        <w:rPr>
          <w:rFonts w:hint="eastAsia" w:ascii="Times New Roman" w:eastAsia="仿宋" w:cs="Times New Roman"/>
          <w:b/>
          <w:bCs/>
          <w:color w:val="FF0000"/>
          <w:highlight w:val="none"/>
        </w:rPr>
        <w:t>《经开区茶园大道以南片区污水管网改造工程（建工学院段）工程地质勘察报告（直接详细勘察）》（重庆卓汇工程勘察设计有限公司2025.1）</w:t>
      </w:r>
    </w:p>
    <w:p w14:paraId="1EF57EAB">
      <w:pPr>
        <w:pStyle w:val="6"/>
        <w:ind w:firstLine="562"/>
        <w:rPr>
          <w:rFonts w:ascii="Times New Roman" w:eastAsia="仿宋" w:cs="Times New Roman"/>
          <w:color w:val="auto"/>
          <w:highlight w:val="none"/>
        </w:rPr>
      </w:pPr>
      <w:r>
        <w:rPr>
          <w:rFonts w:hint="eastAsia" w:ascii="Times New Roman" w:eastAsia="仿宋" w:cs="Times New Roman"/>
          <w:color w:val="auto"/>
          <w:highlight w:val="none"/>
          <w:lang w:val="en-US" w:eastAsia="zh-CN"/>
        </w:rPr>
        <w:t>5</w:t>
      </w:r>
      <w:r>
        <w:rPr>
          <w:rFonts w:ascii="Times New Roman" w:eastAsia="仿宋" w:cs="Times New Roman"/>
          <w:color w:val="auto"/>
          <w:highlight w:val="none"/>
        </w:rPr>
        <w:t>）《江南新城(含经开区部分)雨污分流专项计划》（重庆市市政设计研究院有限公司，2022.10）</w:t>
      </w:r>
    </w:p>
    <w:p w14:paraId="6B0A07F9">
      <w:pPr>
        <w:pStyle w:val="6"/>
        <w:ind w:firstLine="562"/>
        <w:rPr>
          <w:rFonts w:ascii="Times New Roman" w:eastAsia="仿宋" w:cs="Times New Roman"/>
          <w:color w:val="auto"/>
          <w:highlight w:val="none"/>
        </w:rPr>
      </w:pPr>
      <w:r>
        <w:rPr>
          <w:rFonts w:hint="eastAsia" w:ascii="Times New Roman" w:eastAsia="仿宋" w:cs="Times New Roman"/>
          <w:color w:val="auto"/>
          <w:highlight w:val="none"/>
          <w:lang w:val="en-US" w:eastAsia="zh-CN"/>
        </w:rPr>
        <w:t>6</w:t>
      </w:r>
      <w:r>
        <w:rPr>
          <w:rFonts w:ascii="Times New Roman" w:eastAsia="仿宋" w:cs="Times New Roman"/>
          <w:color w:val="auto"/>
          <w:highlight w:val="none"/>
        </w:rPr>
        <w:t>）关于印发《南岸区重庆经开区排水管网改造整治专项行动实施方案(2022——2025年）》的通知（重庆市南岸区人民政府办公室 重庆经济技术开发区管理委员会办公室）</w:t>
      </w:r>
    </w:p>
    <w:p w14:paraId="4DFD873D">
      <w:pPr>
        <w:pStyle w:val="6"/>
        <w:ind w:firstLine="562"/>
        <w:rPr>
          <w:rFonts w:ascii="Times New Roman" w:eastAsia="仿宋" w:cs="Times New Roman"/>
          <w:color w:val="auto"/>
          <w:highlight w:val="none"/>
        </w:rPr>
      </w:pPr>
      <w:r>
        <w:rPr>
          <w:rFonts w:hint="eastAsia" w:ascii="Times New Roman" w:eastAsia="仿宋" w:cs="Times New Roman"/>
          <w:color w:val="auto"/>
          <w:highlight w:val="none"/>
          <w:lang w:val="en-US" w:eastAsia="zh-CN"/>
        </w:rPr>
        <w:t>7</w:t>
      </w:r>
      <w:r>
        <w:rPr>
          <w:rFonts w:ascii="Times New Roman" w:eastAsia="仿宋" w:cs="Times New Roman"/>
          <w:color w:val="auto"/>
          <w:highlight w:val="none"/>
        </w:rPr>
        <w:t>）经开区市政排水管网精细化普查项目管勘成果；</w:t>
      </w:r>
    </w:p>
    <w:p w14:paraId="30E91A4C">
      <w:pPr>
        <w:pStyle w:val="6"/>
        <w:ind w:firstLine="562"/>
        <w:rPr>
          <w:rFonts w:ascii="Times New Roman" w:eastAsia="仿宋" w:cs="Times New Roman"/>
          <w:color w:val="auto"/>
          <w:highlight w:val="none"/>
        </w:rPr>
      </w:pPr>
      <w:r>
        <w:rPr>
          <w:rFonts w:hint="eastAsia" w:ascii="Times New Roman" w:eastAsia="仿宋" w:cs="Times New Roman"/>
          <w:color w:val="auto"/>
          <w:highlight w:val="none"/>
        </w:rPr>
        <w:t>7</w:t>
      </w:r>
      <w:r>
        <w:rPr>
          <w:rFonts w:ascii="Times New Roman" w:eastAsia="仿宋" w:cs="Times New Roman"/>
          <w:color w:val="auto"/>
          <w:highlight w:val="none"/>
        </w:rPr>
        <w:t>）重庆经济技术开发区市政环卫绿化管理处经开区建成区场镇和小区内部排水管网精细化普查项目管勘成果</w:t>
      </w:r>
    </w:p>
    <w:p w14:paraId="76B4E56C">
      <w:pPr>
        <w:pStyle w:val="6"/>
        <w:ind w:firstLine="562"/>
        <w:rPr>
          <w:rFonts w:ascii="Times New Roman" w:eastAsia="仿宋" w:cs="Times New Roman"/>
          <w:color w:val="auto"/>
          <w:highlight w:val="none"/>
        </w:rPr>
      </w:pPr>
      <w:r>
        <w:rPr>
          <w:rFonts w:hint="eastAsia" w:ascii="Times New Roman" w:eastAsia="仿宋" w:cs="Times New Roman"/>
          <w:color w:val="auto"/>
          <w:highlight w:val="none"/>
          <w:lang w:val="en-US" w:eastAsia="zh-CN"/>
        </w:rPr>
        <w:t>9</w:t>
      </w:r>
      <w:r>
        <w:rPr>
          <w:rFonts w:ascii="Times New Roman" w:eastAsia="仿宋" w:cs="Times New Roman"/>
          <w:color w:val="auto"/>
          <w:highlight w:val="none"/>
        </w:rPr>
        <w:t>）《广阳湾智创生态城（长江以南片区）详细规划优化》2023年版</w:t>
      </w:r>
    </w:p>
    <w:p w14:paraId="67065FAB">
      <w:pPr>
        <w:pStyle w:val="6"/>
        <w:ind w:firstLine="562"/>
        <w:rPr>
          <w:rFonts w:ascii="Times New Roman" w:eastAsia="仿宋" w:cs="Times New Roman"/>
          <w:color w:val="auto"/>
          <w:highlight w:val="none"/>
        </w:rPr>
      </w:pPr>
      <w:r>
        <w:rPr>
          <w:rFonts w:hint="eastAsia" w:ascii="Times New Roman" w:eastAsia="仿宋" w:cs="Times New Roman"/>
          <w:color w:val="auto"/>
          <w:highlight w:val="none"/>
          <w:lang w:val="en-US" w:eastAsia="zh-CN"/>
        </w:rPr>
        <w:t>10</w:t>
      </w:r>
      <w:r>
        <w:rPr>
          <w:rFonts w:ascii="Times New Roman" w:eastAsia="仿宋" w:cs="Times New Roman"/>
          <w:color w:val="auto"/>
          <w:highlight w:val="none"/>
        </w:rPr>
        <w:t>）建设方提供的其他相关资料。</w:t>
      </w:r>
    </w:p>
    <w:p w14:paraId="27CB815D">
      <w:pPr>
        <w:adjustRightInd w:val="0"/>
        <w:snapToGrid w:val="0"/>
        <w:ind w:firstLine="562"/>
        <w:outlineLvl w:val="1"/>
        <w:rPr>
          <w:rFonts w:hint="eastAsia" w:ascii="仿宋" w:hAnsi="仿宋" w:eastAsia="仿宋" w:cs="仿宋"/>
          <w:b/>
          <w:color w:val="FF0000"/>
          <w:szCs w:val="28"/>
          <w:highlight w:val="none"/>
        </w:rPr>
      </w:pPr>
      <w:r>
        <w:rPr>
          <w:rFonts w:hint="eastAsia" w:ascii="仿宋" w:hAnsi="仿宋" w:eastAsia="仿宋" w:cs="仿宋"/>
          <w:b/>
          <w:color w:val="FF0000"/>
          <w:szCs w:val="28"/>
          <w:highlight w:val="none"/>
        </w:rPr>
        <w:t>1.3上阶段批复及执行情况</w:t>
      </w:r>
    </w:p>
    <w:p w14:paraId="78691738">
      <w:pPr>
        <w:spacing w:line="360" w:lineRule="auto"/>
        <w:ind w:firstLine="562" w:firstLineChars="200"/>
        <w:rPr>
          <w:rFonts w:hint="eastAsia" w:ascii="仿宋" w:hAnsi="仿宋" w:eastAsia="仿宋" w:cs="仿宋"/>
          <w:b/>
          <w:bCs/>
          <w:color w:val="FF0000"/>
          <w:highlight w:val="none"/>
          <w:lang w:val="en-US" w:eastAsia="zh-CN"/>
        </w:rPr>
      </w:pPr>
      <w:r>
        <w:rPr>
          <w:rFonts w:hint="eastAsia" w:ascii="仿宋" w:hAnsi="仿宋" w:eastAsia="仿宋" w:cs="仿宋"/>
          <w:b/>
          <w:bCs/>
          <w:color w:val="FF0000"/>
          <w:highlight w:val="none"/>
          <w:lang w:val="en-US" w:eastAsia="zh-CN"/>
        </w:rPr>
        <w:t>本工程暂未获得初设批复文件号，待获得后补充，详见设计说明“1.3”。</w:t>
      </w:r>
    </w:p>
    <w:p w14:paraId="7CE742CA">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1.</w:t>
      </w:r>
      <w:r>
        <w:rPr>
          <w:rFonts w:hint="eastAsia" w:ascii="仿宋" w:hAnsi="仿宋" w:eastAsia="仿宋" w:cs="仿宋"/>
          <w:b/>
          <w:color w:val="auto"/>
          <w:szCs w:val="28"/>
          <w:highlight w:val="none"/>
          <w:lang w:val="en-US" w:eastAsia="zh-CN"/>
        </w:rPr>
        <w:t>4</w:t>
      </w:r>
      <w:r>
        <w:rPr>
          <w:rFonts w:hint="eastAsia" w:ascii="仿宋" w:hAnsi="仿宋" w:eastAsia="仿宋" w:cs="仿宋"/>
          <w:b/>
          <w:color w:val="auto"/>
          <w:szCs w:val="28"/>
          <w:highlight w:val="none"/>
        </w:rPr>
        <w:t>规范强制性条文执行情况</w:t>
      </w:r>
    </w:p>
    <w:p w14:paraId="259317A9">
      <w:pPr>
        <w:adjustRightInd w:val="0"/>
        <w:snapToGrid w:val="0"/>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本项目未违反行业现行规范强制性条文。</w:t>
      </w:r>
    </w:p>
    <w:p w14:paraId="5DA425C4">
      <w:pPr>
        <w:pStyle w:val="35"/>
        <w:numPr>
          <w:ilvl w:val="0"/>
          <w:numId w:val="1"/>
        </w:numPr>
        <w:adjustRightInd w:val="0"/>
        <w:snapToGrid w:val="0"/>
        <w:ind w:firstLineChars="0"/>
        <w:outlineLvl w:val="0"/>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规划及现状分析</w:t>
      </w:r>
    </w:p>
    <w:p w14:paraId="12C9069D">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2.1规划分析</w:t>
      </w:r>
    </w:p>
    <w:p w14:paraId="30ACF790">
      <w:pPr>
        <w:pStyle w:val="6"/>
        <w:ind w:firstLine="560"/>
        <w:rPr>
          <w:rFonts w:hint="eastAsia" w:ascii="仿宋" w:hAnsi="仿宋" w:eastAsia="仿宋" w:cs="仿宋"/>
          <w:color w:val="auto"/>
          <w:highlight w:val="none"/>
        </w:rPr>
      </w:pPr>
      <w:bookmarkStart w:id="3" w:name="_Toc98429947"/>
      <w:r>
        <w:rPr>
          <w:rFonts w:hint="eastAsia" w:ascii="仿宋" w:hAnsi="仿宋" w:eastAsia="仿宋" w:cs="仿宋"/>
          <w:color w:val="auto"/>
          <w:highlight w:val="none"/>
          <w:lang w:val="en-US" w:eastAsia="zh-CN"/>
        </w:rPr>
        <w:t>1、</w:t>
      </w:r>
      <w:r>
        <w:rPr>
          <w:rFonts w:hint="eastAsia" w:ascii="仿宋" w:hAnsi="仿宋" w:eastAsia="仿宋" w:cs="仿宋"/>
          <w:color w:val="auto"/>
          <w:highlight w:val="none"/>
        </w:rPr>
        <w:t>《重庆市南岸区（经开区）城镇排水（雨水、污水）专项规划（2021～2035）》</w:t>
      </w:r>
      <w:bookmarkEnd w:id="3"/>
    </w:p>
    <w:p w14:paraId="682D5F5C">
      <w:pPr>
        <w:pStyle w:val="6"/>
        <w:ind w:firstLine="560"/>
        <w:rPr>
          <w:rFonts w:hint="eastAsia" w:ascii="仿宋" w:hAnsi="仿宋" w:eastAsia="仿宋" w:cs="仿宋"/>
          <w:color w:val="auto"/>
          <w:highlight w:val="none"/>
        </w:rPr>
      </w:pPr>
      <w:r>
        <w:rPr>
          <w:rFonts w:hint="eastAsia" w:ascii="仿宋" w:hAnsi="仿宋" w:eastAsia="仿宋" w:cs="仿宋"/>
          <w:color w:val="auto"/>
          <w:highlight w:val="none"/>
        </w:rPr>
        <w:t>（1）排水体制</w:t>
      </w:r>
    </w:p>
    <w:p w14:paraId="468201A6">
      <w:pPr>
        <w:pStyle w:val="6"/>
        <w:ind w:firstLine="560"/>
        <w:rPr>
          <w:rFonts w:hint="eastAsia" w:ascii="仿宋" w:hAnsi="仿宋" w:eastAsia="仿宋" w:cs="仿宋"/>
          <w:color w:val="auto"/>
          <w:highlight w:val="none"/>
        </w:rPr>
      </w:pPr>
      <w:r>
        <w:rPr>
          <w:rFonts w:hint="eastAsia" w:ascii="仿宋" w:hAnsi="仿宋" w:eastAsia="仿宋" w:cs="仿宋"/>
          <w:color w:val="auto"/>
          <w:highlight w:val="none"/>
        </w:rPr>
        <w:t>根据《南岸区国土空间分区规划2020-2035》的要求，规划城区采用分流制排水系统。老城区雨污合流体系逐步改造为分流制排水体系，新建区域严格按照雨污分流排水体系进行规划建设。</w:t>
      </w:r>
    </w:p>
    <w:p w14:paraId="1E38C98B">
      <w:pPr>
        <w:pStyle w:val="6"/>
        <w:ind w:firstLine="560"/>
        <w:rPr>
          <w:rFonts w:hint="eastAsia" w:ascii="仿宋" w:hAnsi="仿宋" w:eastAsia="仿宋" w:cs="仿宋"/>
          <w:color w:val="auto"/>
          <w:highlight w:val="none"/>
        </w:rPr>
      </w:pPr>
      <w:r>
        <w:rPr>
          <w:rFonts w:hint="eastAsia" w:ascii="仿宋" w:hAnsi="仿宋" w:eastAsia="仿宋" w:cs="仿宋"/>
          <w:color w:val="auto"/>
          <w:highlight w:val="none"/>
        </w:rPr>
        <w:t>结合自然地形和城市规划场地高程划分雨水排水分区，各分区内的雨水通过雨水管渠收集，就近重力排入自然水体或沟渠。</w:t>
      </w:r>
    </w:p>
    <w:p w14:paraId="6C92AFB8">
      <w:pPr>
        <w:pStyle w:val="6"/>
        <w:ind w:firstLine="560"/>
        <w:rPr>
          <w:rFonts w:hint="eastAsia" w:ascii="仿宋" w:hAnsi="仿宋" w:eastAsia="仿宋" w:cs="仿宋"/>
          <w:color w:val="auto"/>
          <w:highlight w:val="none"/>
        </w:rPr>
      </w:pPr>
      <w:r>
        <w:rPr>
          <w:rFonts w:hint="eastAsia" w:ascii="仿宋" w:hAnsi="仿宋" w:eastAsia="仿宋" w:cs="仿宋"/>
          <w:color w:val="auto"/>
          <w:highlight w:val="none"/>
        </w:rPr>
        <w:t>（2）规划目标</w:t>
      </w:r>
    </w:p>
    <w:p w14:paraId="3BF6EA65">
      <w:pPr>
        <w:pStyle w:val="6"/>
        <w:ind w:firstLine="560"/>
        <w:rPr>
          <w:rFonts w:hint="eastAsia" w:ascii="仿宋" w:hAnsi="仿宋" w:eastAsia="仿宋" w:cs="仿宋"/>
          <w:color w:val="auto"/>
          <w:highlight w:val="none"/>
        </w:rPr>
      </w:pPr>
      <w:r>
        <w:rPr>
          <w:rFonts w:hint="eastAsia" w:ascii="仿宋" w:hAnsi="仿宋" w:eastAsia="仿宋" w:cs="仿宋"/>
          <w:color w:val="auto"/>
          <w:highlight w:val="none"/>
        </w:rPr>
        <w:t>规划远期，完全达到雨、污水分流制，在规划区域内建成完整、顺畅的雨水排放系统。</w:t>
      </w:r>
    </w:p>
    <w:p w14:paraId="21B62B59">
      <w:pPr>
        <w:pStyle w:val="6"/>
        <w:ind w:firstLine="560"/>
        <w:rPr>
          <w:rFonts w:hint="eastAsia" w:ascii="仿宋" w:hAnsi="仿宋" w:eastAsia="仿宋" w:cs="仿宋"/>
          <w:color w:val="auto"/>
          <w:highlight w:val="none"/>
        </w:rPr>
      </w:pPr>
      <w:r>
        <w:rPr>
          <w:rFonts w:hint="eastAsia" w:ascii="仿宋" w:hAnsi="仿宋" w:eastAsia="仿宋" w:cs="仿宋"/>
          <w:color w:val="auto"/>
          <w:highlight w:val="none"/>
        </w:rPr>
        <w:t>在设计重现期内，确保雨水排水畅通，不积水；在超过重现期时，能做到积水时间短、退水快。</w:t>
      </w:r>
    </w:p>
    <w:p w14:paraId="6ED613F9">
      <w:pPr>
        <w:pStyle w:val="6"/>
        <w:numPr>
          <w:ilvl w:val="0"/>
          <w:numId w:val="3"/>
        </w:numPr>
        <w:ind w:firstLine="560"/>
        <w:rPr>
          <w:rFonts w:hint="eastAsia" w:ascii="仿宋" w:hAnsi="仿宋" w:eastAsia="仿宋" w:cs="仿宋"/>
          <w:color w:val="auto"/>
          <w:highlight w:val="none"/>
        </w:rPr>
      </w:pPr>
      <w:r>
        <w:rPr>
          <w:rFonts w:hint="eastAsia" w:ascii="仿宋" w:hAnsi="仿宋" w:eastAsia="仿宋" w:cs="仿宋"/>
          <w:color w:val="auto"/>
          <w:highlight w:val="none"/>
        </w:rPr>
        <w:t>规划</w:t>
      </w:r>
      <w:r>
        <w:rPr>
          <w:rFonts w:hint="eastAsia" w:ascii="仿宋" w:hAnsi="仿宋" w:eastAsia="仿宋" w:cs="仿宋"/>
          <w:color w:val="auto"/>
          <w:highlight w:val="none"/>
          <w:lang w:val="en-US" w:eastAsia="zh-CN"/>
        </w:rPr>
        <w:t>雨、</w:t>
      </w:r>
      <w:r>
        <w:rPr>
          <w:rFonts w:hint="eastAsia" w:ascii="仿宋" w:hAnsi="仿宋" w:eastAsia="仿宋" w:cs="仿宋"/>
          <w:color w:val="auto"/>
          <w:highlight w:val="none"/>
        </w:rPr>
        <w:t>污水系统</w:t>
      </w:r>
    </w:p>
    <w:p w14:paraId="091306B7">
      <w:pPr>
        <w:pStyle w:val="6"/>
        <w:spacing w:line="240" w:lineRule="auto"/>
        <w:ind w:firstLine="56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drawing>
          <wp:inline distT="0" distB="0" distL="114300" distR="114300">
            <wp:extent cx="5724525" cy="4314825"/>
            <wp:effectExtent l="0" t="0" r="9525" b="9525"/>
            <wp:docPr id="2"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
                    <pic:cNvPicPr>
                      <a:picLocks noChangeAspect="1"/>
                    </pic:cNvPicPr>
                  </pic:nvPicPr>
                  <pic:blipFill>
                    <a:blip r:embed="rId8"/>
                    <a:stretch>
                      <a:fillRect/>
                    </a:stretch>
                  </pic:blipFill>
                  <pic:spPr>
                    <a:xfrm>
                      <a:off x="0" y="0"/>
                      <a:ext cx="5724525" cy="4314825"/>
                    </a:xfrm>
                    <a:prstGeom prst="rect">
                      <a:avLst/>
                    </a:prstGeom>
                  </pic:spPr>
                </pic:pic>
              </a:graphicData>
            </a:graphic>
          </wp:inline>
        </w:drawing>
      </w:r>
    </w:p>
    <w:p w14:paraId="3744D934">
      <w:pPr>
        <w:pStyle w:val="6"/>
        <w:keepNext w:val="0"/>
        <w:keepLines w:val="0"/>
        <w:pageBreakBefore w:val="0"/>
        <w:kinsoku/>
        <w:wordWrap/>
        <w:overflowPunct/>
        <w:topLinePunct w:val="0"/>
        <w:bidi w:val="0"/>
        <w:spacing w:line="360" w:lineRule="auto"/>
        <w:ind w:firstLine="56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根据建设方建设方提供资料，本次设计范围规划为东拓区二路，南接东拓区一路，北接茶园大道。于道路西侧规划DN400污水管，末端排至茶园大道污水系统，于道路东侧规划DD600雨水管，末端排至茶园大道雨水系统。</w:t>
      </w:r>
    </w:p>
    <w:p w14:paraId="43854F06">
      <w:pPr>
        <w:pStyle w:val="6"/>
        <w:keepNext w:val="0"/>
        <w:keepLines w:val="0"/>
        <w:pageBreakBefore w:val="0"/>
        <w:kinsoku/>
        <w:wordWrap/>
        <w:overflowPunct/>
        <w:topLinePunct w:val="0"/>
        <w:bidi w:val="0"/>
        <w:spacing w:line="360" w:lineRule="auto"/>
        <w:ind w:firstLine="560" w:firstLineChars="200"/>
        <w:textAlignment w:val="auto"/>
        <w:rPr>
          <w:rFonts w:hint="eastAsia" w:ascii="仿宋" w:hAnsi="仿宋" w:eastAsia="仿宋" w:cs="仿宋"/>
          <w:color w:val="FF0000"/>
          <w:szCs w:val="28"/>
          <w:highlight w:val="none"/>
          <w:lang w:val="en-US" w:eastAsia="zh-CN"/>
        </w:rPr>
      </w:pPr>
      <w:r>
        <w:rPr>
          <w:rFonts w:hint="eastAsia" w:ascii="仿宋" w:hAnsi="仿宋" w:eastAsia="仿宋" w:cs="仿宋"/>
          <w:color w:val="FF0000"/>
          <w:highlight w:val="none"/>
        </w:rPr>
        <w:t>本项目起点始于建工职业学院东入口位置，终点止于茶园大道</w:t>
      </w:r>
      <w:r>
        <w:rPr>
          <w:rFonts w:hint="eastAsia" w:ascii="仿宋" w:hAnsi="仿宋" w:eastAsia="仿宋" w:cs="仿宋"/>
          <w:color w:val="FF0000"/>
          <w:szCs w:val="28"/>
          <w:highlight w:val="none"/>
        </w:rPr>
        <w:t>。拟建场地为</w:t>
      </w:r>
      <w:r>
        <w:rPr>
          <w:rFonts w:hint="eastAsia" w:ascii="仿宋" w:hAnsi="仿宋" w:eastAsia="仿宋" w:cs="仿宋"/>
          <w:color w:val="FF0000"/>
          <w:szCs w:val="28"/>
          <w:highlight w:val="none"/>
          <w:lang w:eastAsia="zh-CN"/>
        </w:rPr>
        <w:t>现状村道和部分</w:t>
      </w:r>
      <w:r>
        <w:rPr>
          <w:rFonts w:hint="eastAsia" w:ascii="仿宋" w:hAnsi="仿宋" w:eastAsia="仿宋" w:cs="仿宋"/>
          <w:color w:val="FF0000"/>
          <w:szCs w:val="28"/>
          <w:highlight w:val="none"/>
        </w:rPr>
        <w:t>原始地貌。为保证本项目的顺利实施，需修建一条进场施工便道。</w:t>
      </w:r>
      <w:r>
        <w:rPr>
          <w:rFonts w:hint="eastAsia" w:ascii="仿宋" w:hAnsi="仿宋" w:eastAsia="仿宋" w:cs="仿宋"/>
          <w:color w:val="FF0000"/>
          <w:szCs w:val="28"/>
          <w:highlight w:val="none"/>
          <w:lang w:val="en-US" w:eastAsia="zh-CN"/>
        </w:rPr>
        <w:t>较规划相比，便道起点位置缩短至学院东入口位置，终点开口位置较规划西侧移动。雨污水管网布置位置同便道进行同步调整。</w:t>
      </w:r>
    </w:p>
    <w:p w14:paraId="4DF8FDBF">
      <w:pPr>
        <w:pStyle w:val="6"/>
        <w:keepNext w:val="0"/>
        <w:keepLines w:val="0"/>
        <w:pageBreakBefore w:val="0"/>
        <w:kinsoku/>
        <w:wordWrap/>
        <w:overflowPunct/>
        <w:topLinePunct w:val="0"/>
        <w:bidi w:val="0"/>
        <w:spacing w:line="360" w:lineRule="auto"/>
        <w:ind w:firstLine="560" w:firstLineChars="200"/>
        <w:textAlignment w:val="auto"/>
        <w:rPr>
          <w:rFonts w:hint="default" w:ascii="仿宋" w:hAnsi="仿宋" w:eastAsia="仿宋" w:cs="仿宋"/>
          <w:color w:val="FF0000"/>
          <w:szCs w:val="28"/>
          <w:highlight w:val="none"/>
          <w:lang w:val="en-US" w:eastAsia="zh-CN"/>
        </w:rPr>
      </w:pPr>
    </w:p>
    <w:p w14:paraId="62A9558D">
      <w:pPr>
        <w:keepNext w:val="0"/>
        <w:keepLines w:val="0"/>
        <w:pageBreakBefore w:val="0"/>
        <w:kinsoku/>
        <w:wordWrap/>
        <w:overflowPunct/>
        <w:topLinePunct w:val="0"/>
        <w:bidi w:val="0"/>
        <w:adjustRightInd w:val="0"/>
        <w:snapToGrid w:val="0"/>
        <w:spacing w:line="360" w:lineRule="auto"/>
        <w:ind w:firstLine="562" w:firstLineChars="200"/>
        <w:textAlignment w:val="auto"/>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2.2现状分析</w:t>
      </w:r>
    </w:p>
    <w:p w14:paraId="5B47F371">
      <w:pPr>
        <w:keepNext w:val="0"/>
        <w:keepLines w:val="0"/>
        <w:pageBreakBefore w:val="0"/>
        <w:kinsoku/>
        <w:wordWrap/>
        <w:overflowPunct/>
        <w:topLinePunct w:val="0"/>
        <w:bidi w:val="0"/>
        <w:adjustRightInd w:val="0"/>
        <w:spacing w:line="360" w:lineRule="auto"/>
        <w:ind w:firstLine="560" w:firstLineChars="200"/>
        <w:contextualSpacing/>
        <w:textAlignment w:val="auto"/>
        <w:outlineLvl w:val="2"/>
        <w:rPr>
          <w:rFonts w:hint="eastAsia" w:ascii="仿宋" w:hAnsi="仿宋" w:eastAsia="仿宋" w:cs="仿宋"/>
          <w:color w:val="auto"/>
          <w:highlight w:val="none"/>
        </w:rPr>
      </w:pPr>
      <w:r>
        <w:rPr>
          <w:rFonts w:hint="eastAsia" w:ascii="仿宋" w:hAnsi="仿宋" w:eastAsia="仿宋" w:cs="仿宋"/>
          <w:color w:val="auto"/>
          <w:highlight w:val="none"/>
        </w:rPr>
        <w:t>2.2.1现状排水管道分析</w:t>
      </w:r>
    </w:p>
    <w:p w14:paraId="5AE2422C">
      <w:pPr>
        <w:pStyle w:val="6"/>
        <w:keepNext w:val="0"/>
        <w:keepLines w:val="0"/>
        <w:pageBreakBefore w:val="0"/>
        <w:kinsoku/>
        <w:wordWrap/>
        <w:overflowPunct/>
        <w:topLinePunct w:val="0"/>
        <w:bidi w:val="0"/>
        <w:spacing w:line="360" w:lineRule="auto"/>
        <w:ind w:firstLine="560" w:firstLineChars="200"/>
        <w:textAlignment w:val="auto"/>
        <w:rPr>
          <w:rFonts w:hint="default"/>
          <w:color w:val="auto"/>
          <w:highlight w:val="none"/>
          <w:lang w:val="en-US" w:eastAsia="zh-CN"/>
        </w:rPr>
      </w:pPr>
      <w:r>
        <w:rPr>
          <w:rFonts w:hint="eastAsia" w:ascii="仿宋" w:hAnsi="仿宋" w:eastAsia="仿宋" w:cs="仿宋"/>
          <w:color w:val="auto"/>
          <w:highlight w:val="none"/>
        </w:rPr>
        <w:t>本次工程设计项目范围内</w:t>
      </w:r>
      <w:r>
        <w:rPr>
          <w:rFonts w:hint="eastAsia" w:ascii="仿宋" w:hAnsi="仿宋" w:eastAsia="仿宋" w:cs="仿宋"/>
          <w:color w:val="auto"/>
          <w:highlight w:val="none"/>
          <w:lang w:val="en-US" w:eastAsia="zh-CN"/>
        </w:rPr>
        <w:t>拟建建工学院，周边规划路网未实施，导致学院建成后内部污水无出路</w:t>
      </w:r>
      <w:r>
        <w:rPr>
          <w:rFonts w:hint="eastAsia" w:ascii="仿宋" w:hAnsi="仿宋" w:eastAsia="仿宋" w:cs="仿宋"/>
          <w:color w:val="auto"/>
          <w:highlight w:val="none"/>
        </w:rPr>
        <w:t>。</w:t>
      </w:r>
    </w:p>
    <w:p w14:paraId="27D7F55B">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2.3工程地址条件（摘自地勘报告）</w:t>
      </w:r>
    </w:p>
    <w:p w14:paraId="16104559">
      <w:pPr>
        <w:pStyle w:val="4"/>
        <w:spacing w:before="0" w:after="0" w:line="360" w:lineRule="auto"/>
        <w:outlineLvl w:val="2"/>
        <w:rPr>
          <w:rFonts w:ascii="仿宋" w:hAnsi="仿宋" w:eastAsia="仿宋" w:cs="仿宋"/>
          <w:color w:val="auto"/>
          <w:sz w:val="28"/>
          <w:szCs w:val="28"/>
          <w:highlight w:val="none"/>
        </w:rPr>
      </w:pPr>
      <w:bookmarkStart w:id="4" w:name="_Toc31086"/>
      <w:bookmarkStart w:id="5" w:name="_Toc20736"/>
      <w:r>
        <w:rPr>
          <w:rFonts w:hint="eastAsia" w:ascii="仿宋" w:hAnsi="仿宋" w:eastAsia="仿宋" w:cs="仿宋"/>
          <w:color w:val="auto"/>
          <w:sz w:val="28"/>
          <w:szCs w:val="28"/>
          <w:highlight w:val="none"/>
          <w:lang w:val="en-US" w:eastAsia="zh-CN"/>
        </w:rPr>
        <w:t>2.3.1</w:t>
      </w:r>
      <w:r>
        <w:rPr>
          <w:rFonts w:hint="eastAsia" w:ascii="仿宋" w:hAnsi="仿宋" w:eastAsia="仿宋" w:cs="仿宋"/>
          <w:color w:val="auto"/>
          <w:sz w:val="28"/>
          <w:szCs w:val="28"/>
          <w:highlight w:val="none"/>
        </w:rPr>
        <w:t>场地位置及地形地貌</w:t>
      </w:r>
      <w:bookmarkEnd w:id="4"/>
      <w:bookmarkEnd w:id="5"/>
    </w:p>
    <w:p w14:paraId="35150A6C">
      <w:pPr>
        <w:spacing w:line="360" w:lineRule="auto"/>
        <w:outlineLvl w:val="3"/>
        <w:rPr>
          <w:rFonts w:ascii="仿宋" w:hAnsi="仿宋" w:eastAsia="仿宋" w:cs="仿宋"/>
          <w:bCs/>
          <w:color w:val="auto"/>
          <w:sz w:val="28"/>
          <w:szCs w:val="28"/>
          <w:highlight w:val="none"/>
          <w:lang w:val="zh-CN"/>
        </w:rPr>
      </w:pPr>
      <w:bookmarkStart w:id="6" w:name="_Toc5902"/>
      <w:bookmarkStart w:id="7" w:name="_Toc3592"/>
      <w:r>
        <w:rPr>
          <w:rFonts w:hint="eastAsia" w:ascii="仿宋" w:hAnsi="仿宋" w:eastAsia="仿宋" w:cs="仿宋"/>
          <w:bCs/>
          <w:color w:val="auto"/>
          <w:sz w:val="28"/>
          <w:szCs w:val="28"/>
          <w:highlight w:val="none"/>
          <w:lang w:val="en-US" w:eastAsia="zh-CN"/>
        </w:rPr>
        <w:t>2.3.1.1</w:t>
      </w:r>
      <w:r>
        <w:rPr>
          <w:rFonts w:hint="eastAsia" w:ascii="仿宋" w:hAnsi="仿宋" w:eastAsia="仿宋" w:cs="仿宋"/>
          <w:bCs/>
          <w:color w:val="auto"/>
          <w:sz w:val="28"/>
          <w:szCs w:val="28"/>
          <w:highlight w:val="none"/>
          <w:lang w:val="zh-CN"/>
        </w:rPr>
        <w:t>场地位置</w:t>
      </w:r>
      <w:bookmarkEnd w:id="6"/>
      <w:bookmarkEnd w:id="7"/>
    </w:p>
    <w:p w14:paraId="6348CB33">
      <w:pPr>
        <w:tabs>
          <w:tab w:val="left" w:pos="1320"/>
        </w:tabs>
        <w:snapToGrid w:val="0"/>
        <w:spacing w:line="360" w:lineRule="auto"/>
        <w:ind w:firstLine="560" w:firstLineChars="200"/>
        <w:jc w:val="left"/>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本项目为经开区茶园大道以南片区污水管网改造工程（建工学院东站校区段），项目主要位于经开区建工职业学院东侧项目范围内，路网条件成熟，交通方便。</w:t>
      </w:r>
    </w:p>
    <w:p w14:paraId="46A26E2B">
      <w:pPr>
        <w:spacing w:line="360" w:lineRule="auto"/>
        <w:outlineLvl w:val="3"/>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2.3.1.2</w:t>
      </w:r>
      <w:r>
        <w:rPr>
          <w:rFonts w:hint="eastAsia" w:ascii="仿宋" w:hAnsi="仿宋" w:eastAsia="仿宋" w:cs="仿宋"/>
          <w:bCs/>
          <w:color w:val="auto"/>
          <w:sz w:val="28"/>
          <w:szCs w:val="28"/>
          <w:highlight w:val="none"/>
          <w:lang w:val="zh-CN"/>
        </w:rPr>
        <w:t>地形地貌</w:t>
      </w:r>
    </w:p>
    <w:p w14:paraId="1C8A811D">
      <w:pPr>
        <w:widowControl/>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拟建场地为地貌分区属四川盆地东部平行岭谷区之构造剥蚀浅丘（丘陵）地貌，其地形地貌特征受地质构造和地层岩性的制约，大背斜构成中低山区、小背斜和向斜构成剥蚀浅丘地貌区，红层（红色砂、泥岩）大面积分布于地表，红层丘陵原始风貌在场地内总体较清晰，红色砂、泥岩构成的丘陵随处可见，但如今，周边区域工程建设、开山取石等人类工程活动留下的痕迹，开挖后裸露的基岩与周边残存的植被形成鲜明的对比。建工职业学院东侧段拟建管网北侧为已建茶园大道，东侧为原始地貌，地形整体东西高，中部最低，西侧及中部有回填，地形坡度2～40°，中部平地缓坡，拟建场地地面高程241～287m。</w:t>
      </w:r>
    </w:p>
    <w:p w14:paraId="5E2AA523">
      <w:pPr>
        <w:pStyle w:val="4"/>
        <w:spacing w:before="0" w:after="0" w:line="360" w:lineRule="auto"/>
        <w:rPr>
          <w:rFonts w:ascii="仿宋" w:hAnsi="仿宋" w:eastAsia="仿宋" w:cs="仿宋"/>
          <w:color w:val="auto"/>
          <w:sz w:val="28"/>
          <w:szCs w:val="28"/>
          <w:highlight w:val="none"/>
        </w:rPr>
      </w:pPr>
      <w:bookmarkStart w:id="8" w:name="_Toc12876"/>
      <w:bookmarkStart w:id="9" w:name="_Toc22487"/>
      <w:r>
        <w:rPr>
          <w:rFonts w:hint="eastAsia" w:ascii="仿宋" w:hAnsi="仿宋" w:eastAsia="仿宋" w:cs="仿宋"/>
          <w:color w:val="auto"/>
          <w:sz w:val="28"/>
          <w:szCs w:val="28"/>
          <w:highlight w:val="none"/>
          <w:lang w:val="en-US" w:eastAsia="zh-CN"/>
        </w:rPr>
        <w:t>2.3.2</w:t>
      </w:r>
      <w:r>
        <w:rPr>
          <w:rFonts w:hint="eastAsia" w:ascii="仿宋" w:hAnsi="仿宋" w:eastAsia="仿宋" w:cs="仿宋"/>
          <w:color w:val="auto"/>
          <w:sz w:val="28"/>
          <w:szCs w:val="28"/>
          <w:highlight w:val="none"/>
        </w:rPr>
        <w:t>气象与水文</w:t>
      </w:r>
      <w:bookmarkEnd w:id="8"/>
      <w:bookmarkEnd w:id="9"/>
    </w:p>
    <w:p w14:paraId="1555A678">
      <w:pPr>
        <w:pStyle w:val="5"/>
        <w:spacing w:line="360" w:lineRule="auto"/>
        <w:rPr>
          <w:rFonts w:ascii="仿宋" w:hAnsi="仿宋" w:eastAsia="仿宋" w:cs="仿宋"/>
          <w:color w:val="auto"/>
          <w:szCs w:val="28"/>
          <w:highlight w:val="none"/>
        </w:rPr>
      </w:pPr>
      <w:bookmarkStart w:id="10" w:name="_Toc11148"/>
      <w:bookmarkStart w:id="11" w:name="_Toc3719"/>
      <w:bookmarkStart w:id="12" w:name="OLE_LINK4"/>
      <w:bookmarkStart w:id="13" w:name="OLE_LINK5"/>
      <w:r>
        <w:rPr>
          <w:rFonts w:hint="eastAsia" w:ascii="仿宋" w:hAnsi="仿宋" w:eastAsia="仿宋" w:cs="仿宋"/>
          <w:color w:val="auto"/>
          <w:szCs w:val="28"/>
          <w:highlight w:val="none"/>
          <w:lang w:val="en-US" w:eastAsia="zh-CN"/>
        </w:rPr>
        <w:t>2.3.2.1</w:t>
      </w:r>
      <w:r>
        <w:rPr>
          <w:rFonts w:hint="eastAsia" w:ascii="仿宋" w:hAnsi="仿宋" w:eastAsia="仿宋" w:cs="仿宋"/>
          <w:color w:val="auto"/>
          <w:szCs w:val="28"/>
          <w:highlight w:val="none"/>
        </w:rPr>
        <w:t>气象</w:t>
      </w:r>
      <w:bookmarkEnd w:id="10"/>
      <w:bookmarkEnd w:id="11"/>
    </w:p>
    <w:p w14:paraId="1A70139C">
      <w:pPr>
        <w:pStyle w:val="11"/>
        <w:spacing w:after="0" w:line="360" w:lineRule="auto"/>
        <w:ind w:left="0" w:leftChars="0" w:firstLine="56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勘察区属亚热带季风性湿润气候，日照总时数1000～1200h，具冬暖夏热，无霜期长、雨量充沛、温润多阴、雨热同季，常年降雨量1000～1400mm，春夏之交夜雨尤甚、空气湿度大、云雾多、日照偏少、秋雨连绵等特点，素有“巴山夜雨”之说。气温的垂直分带明显，海拔高程300m以下的沿江河谷区，年平均气温为18.0～18.8℃。</w:t>
      </w:r>
    </w:p>
    <w:p w14:paraId="2000375F">
      <w:pPr>
        <w:pStyle w:val="11"/>
        <w:spacing w:after="0" w:line="360" w:lineRule="auto"/>
        <w:ind w:left="0" w:leftChars="0" w:firstLine="56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气温：多年平均气温18.3℃，月平均最高气温是8月为28.1℃，月平均最低气温在1月为5.7℃。极端最高气温43℃，出现日期：2006年8月15日；极端最低气温-1.8℃，出现日期：1955年1月11日。</w:t>
      </w:r>
    </w:p>
    <w:p w14:paraId="549D5628">
      <w:pPr>
        <w:pStyle w:val="11"/>
        <w:spacing w:after="0" w:line="360" w:lineRule="auto"/>
        <w:ind w:left="0" w:leftChars="0" w:firstLine="56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湿度：年蒸发量1079.2mm；最大年蒸发量1347.3mm；年平均相对湿度79%；年平均绝对湿度17.7MPa；多年平均相对湿度79%左右，绝对湿度17.7hPa左右，最热月份相对湿度70%左右，最冷月份相对湿度81%左右。</w:t>
      </w:r>
    </w:p>
    <w:p w14:paraId="356B1D15">
      <w:pPr>
        <w:pStyle w:val="11"/>
        <w:spacing w:after="0" w:line="360" w:lineRule="auto"/>
        <w:ind w:left="0" w:leftChars="0" w:firstLine="56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降水量：最大年降水量1544.8mm，最小年降水量740.1mm，多年平均降水量为1082.6mm，年最大降雨量1544.8mm，年最小降雨量740.1mm，降雨多集中在5～9月，约占全年降雨量的70%，且强度较大，暴雨时有发生；日最大降雨量266.5mm(2007.7.17)，日降雨量大于25mm以上的大暴雨日数占全年降雨日数的62%左右，小时最大降雨量可达62.1mm；多年平均蒸发量1138.6 mm。</w:t>
      </w:r>
    </w:p>
    <w:p w14:paraId="093F1535">
      <w:pPr>
        <w:widowControl/>
        <w:adjustRightInd w:val="0"/>
        <w:snapToGrid w:val="0"/>
        <w:spacing w:line="360" w:lineRule="auto"/>
        <w:ind w:firstLine="560" w:firstLineChars="200"/>
        <w:jc w:val="left"/>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风：全年主导风向为北，频率13%左右，夏季主导风向为北西，频率10%左右，年平均风速为1.3m/s左右，最大风速为26.7m/s。</w:t>
      </w:r>
    </w:p>
    <w:p w14:paraId="17AF016C">
      <w:pPr>
        <w:pStyle w:val="5"/>
        <w:spacing w:line="360" w:lineRule="auto"/>
        <w:rPr>
          <w:rFonts w:ascii="仿宋" w:hAnsi="仿宋" w:eastAsia="仿宋" w:cs="仿宋"/>
          <w:color w:val="auto"/>
          <w:szCs w:val="28"/>
          <w:highlight w:val="none"/>
        </w:rPr>
      </w:pPr>
      <w:bookmarkStart w:id="14" w:name="_Toc13055"/>
      <w:bookmarkStart w:id="15" w:name="_Toc3088"/>
      <w:r>
        <w:rPr>
          <w:rFonts w:hint="eastAsia" w:ascii="仿宋" w:hAnsi="仿宋" w:eastAsia="仿宋" w:cs="仿宋"/>
          <w:color w:val="auto"/>
          <w:szCs w:val="28"/>
          <w:highlight w:val="none"/>
          <w:lang w:val="en-US" w:eastAsia="zh-CN"/>
        </w:rPr>
        <w:t>2.3.2.2</w:t>
      </w:r>
      <w:r>
        <w:rPr>
          <w:rFonts w:hint="eastAsia" w:ascii="仿宋" w:hAnsi="仿宋" w:eastAsia="仿宋" w:cs="仿宋"/>
          <w:color w:val="auto"/>
          <w:szCs w:val="28"/>
          <w:highlight w:val="none"/>
        </w:rPr>
        <w:t>水文</w:t>
      </w:r>
      <w:bookmarkEnd w:id="14"/>
      <w:bookmarkEnd w:id="15"/>
    </w:p>
    <w:p w14:paraId="68677DFC">
      <w:pPr>
        <w:widowControl/>
        <w:adjustRightInd w:val="0"/>
        <w:snapToGrid w:val="0"/>
        <w:spacing w:line="360" w:lineRule="auto"/>
        <w:ind w:firstLine="560" w:firstLineChars="200"/>
        <w:jc w:val="left"/>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经开区内河流均属长江水系，主要包括长江干流（南岸区段）、长江一级支流（苦溪河、渔溪河、回龙沟、桶颈沟等），以及长江二、三级支流（杨家沟、拦马河、梨子园河、跳蹬河、冯家沟、杉树湾沟等）。</w:t>
      </w:r>
    </w:p>
    <w:p w14:paraId="3D1BCC17">
      <w:pPr>
        <w:widowControl/>
        <w:adjustRightInd w:val="0"/>
        <w:snapToGrid w:val="0"/>
        <w:spacing w:line="360" w:lineRule="auto"/>
        <w:ind w:firstLine="560" w:firstLineChars="200"/>
        <w:jc w:val="left"/>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拟建场地范围内勘察期间未见地表水体。</w:t>
      </w:r>
    </w:p>
    <w:bookmarkEnd w:id="12"/>
    <w:bookmarkEnd w:id="13"/>
    <w:p w14:paraId="4AB49B36">
      <w:pPr>
        <w:pStyle w:val="4"/>
        <w:spacing w:before="0" w:after="0" w:line="360" w:lineRule="auto"/>
        <w:rPr>
          <w:rFonts w:ascii="仿宋" w:hAnsi="仿宋" w:eastAsia="仿宋" w:cs="仿宋"/>
          <w:color w:val="auto"/>
          <w:sz w:val="28"/>
          <w:szCs w:val="28"/>
          <w:highlight w:val="none"/>
        </w:rPr>
      </w:pPr>
      <w:bookmarkStart w:id="16" w:name="_Toc1678"/>
      <w:bookmarkStart w:id="17" w:name="_Toc7759"/>
      <w:r>
        <w:rPr>
          <w:rFonts w:hint="eastAsia" w:ascii="仿宋" w:hAnsi="仿宋" w:eastAsia="仿宋" w:cs="仿宋"/>
          <w:color w:val="auto"/>
          <w:sz w:val="28"/>
          <w:szCs w:val="28"/>
          <w:highlight w:val="none"/>
          <w:lang w:val="en-US" w:eastAsia="zh-CN"/>
        </w:rPr>
        <w:t>2.3.3</w:t>
      </w:r>
      <w:r>
        <w:rPr>
          <w:rFonts w:hint="eastAsia" w:ascii="仿宋" w:hAnsi="仿宋" w:eastAsia="仿宋" w:cs="仿宋"/>
          <w:color w:val="auto"/>
          <w:sz w:val="28"/>
          <w:szCs w:val="28"/>
          <w:highlight w:val="none"/>
        </w:rPr>
        <w:t>地质构造及地震</w:t>
      </w:r>
      <w:bookmarkEnd w:id="16"/>
      <w:bookmarkEnd w:id="17"/>
    </w:p>
    <w:p w14:paraId="78655E8E">
      <w:pPr>
        <w:pStyle w:val="5"/>
        <w:spacing w:line="360" w:lineRule="auto"/>
        <w:rPr>
          <w:rFonts w:ascii="仿宋" w:hAnsi="仿宋" w:eastAsia="仿宋" w:cs="仿宋"/>
          <w:color w:val="auto"/>
          <w:szCs w:val="28"/>
          <w:highlight w:val="none"/>
        </w:rPr>
      </w:pPr>
      <w:bookmarkStart w:id="18" w:name="_Toc14370"/>
      <w:r>
        <w:rPr>
          <w:rFonts w:hint="eastAsia" w:ascii="仿宋" w:hAnsi="仿宋" w:eastAsia="仿宋" w:cs="仿宋"/>
          <w:color w:val="auto"/>
          <w:szCs w:val="28"/>
          <w:highlight w:val="none"/>
          <w:lang w:val="en-US" w:eastAsia="zh-CN"/>
        </w:rPr>
        <w:t>2.3.3.1</w:t>
      </w:r>
      <w:r>
        <w:rPr>
          <w:rFonts w:hint="eastAsia" w:ascii="仿宋" w:hAnsi="仿宋" w:eastAsia="仿宋" w:cs="仿宋"/>
          <w:color w:val="auto"/>
          <w:szCs w:val="28"/>
          <w:highlight w:val="none"/>
        </w:rPr>
        <w:t>地质构造</w:t>
      </w:r>
      <w:bookmarkEnd w:id="18"/>
    </w:p>
    <w:p w14:paraId="58E32C92">
      <w:pPr>
        <w:pStyle w:val="11"/>
        <w:spacing w:after="0" w:line="360" w:lineRule="auto"/>
        <w:ind w:left="0" w:leftChars="0" w:firstLine="56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工程区位于一级大地构造单元扬子准台地东南，属于二级大地构造单元重庆台坳的重庆陷褶束（三级大地构造单元）之南部。重庆陷褶束主要构造由一系列的北东～北北东向的近于平行的不对称的线形的梳妆或箱状褶皱束组成。褶皱的背斜紧凑狭窄，向斜开阔平缓。断裂多为高角度（50～80°）走向逆冲断层，且多为南东东向北西西逆冲。扭性断裂斜交地层走向，北东组较北西组发育，扭动特征明显，北东组断裂顺时针扭动，北西组作逆时针扭动。</w:t>
      </w:r>
    </w:p>
    <w:p w14:paraId="2497F4BE">
      <w:pPr>
        <w:pStyle w:val="11"/>
        <w:spacing w:after="0" w:line="360" w:lineRule="auto"/>
        <w:ind w:left="0" w:leftChars="0" w:firstLine="56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拟建工程建工学院东侧段构造上位大盛场向斜轴部偏东翼，向斜北至大盛场南止三角镇附近，由南段和北段连接而成，构造轴向N10°～20°E，两翼不对称，轴部宽缓，岩层倾角5～20°，两翼岩层倾角渐陡，岩层20～45°，轴部出露地层主要为沙溪庙组砂岩和泥岩。</w:t>
      </w:r>
    </w:p>
    <w:p w14:paraId="7FB4BC79">
      <w:pPr>
        <w:pStyle w:val="11"/>
        <w:spacing w:after="0" w:line="360" w:lineRule="auto"/>
        <w:ind w:left="0" w:leftChars="0" w:firstLine="56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建工学院东侧段拟建场地：</w:t>
      </w:r>
    </w:p>
    <w:p w14:paraId="59882722">
      <w:pPr>
        <w:pStyle w:val="11"/>
        <w:spacing w:after="0" w:line="360" w:lineRule="auto"/>
        <w:ind w:left="0" w:leftChars="0" w:firstLine="56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岩层层面多呈波状起伏，向斜东翼岩层产状倾向290°～310°，倾角12～16°,岩层面在砂岩内部多呈闭合状，在砂质泥岩和砂岩分层处一般夹有泥化层。一般情况下无水，雨后有少量渗水，结合程度很差，为软弱结构面。</w:t>
      </w:r>
    </w:p>
    <w:p w14:paraId="2AE092BF">
      <w:pPr>
        <w:pStyle w:val="11"/>
        <w:spacing w:after="0" w:line="360" w:lineRule="auto"/>
        <w:ind w:left="0" w:leftChars="0" w:firstLine="56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据地表1:500工程地质测绘、调查及钻孔揭露情况，场地岩层层面多呈波状起伏，具有交错层理，分别在场地四周的节理调查统计表明，场地产状在290～310°∠12～16°之间，304°∠13°为优势产状。</w:t>
      </w:r>
    </w:p>
    <w:p w14:paraId="002CAE89">
      <w:pPr>
        <w:pStyle w:val="11"/>
        <w:spacing w:after="0" w:line="360" w:lineRule="auto"/>
        <w:ind w:left="0" w:leftChars="0" w:firstLine="56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根据现场调查主要发育以下两组构造裂隙：</w:t>
      </w:r>
    </w:p>
    <w:p w14:paraId="5B51EA72">
      <w:pPr>
        <w:pStyle w:val="11"/>
        <w:spacing w:after="0" w:line="360" w:lineRule="auto"/>
        <w:ind w:left="0" w:leftChars="0" w:firstLine="56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裂隙L1：倾向161～183°，倾角75～83°，优势产状171°∠79°，裂面较平直、光滑，多呈闭合状，大部分无充填，裂隙间距1～3m，延伸长度1～3m，结合差，属硬性结构面。</w:t>
      </w:r>
    </w:p>
    <w:p w14:paraId="339CFA53">
      <w:pPr>
        <w:widowControl/>
        <w:adjustRightInd w:val="0"/>
        <w:snapToGrid w:val="0"/>
        <w:spacing w:line="360" w:lineRule="auto"/>
        <w:ind w:firstLine="560" w:firstLineChars="200"/>
        <w:jc w:val="left"/>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裂隙L2：倾向242～265°，倾角76～85°，优势产状253°∠82°，裂面平直、光滑，以闭合状为主，部分张开宽度1～3mm，大部分无充填，裂隙间距1～2m，延伸长度1～4m，结合差，属硬性结构面。</w:t>
      </w:r>
    </w:p>
    <w:p w14:paraId="65FE2A3D">
      <w:pPr>
        <w:pStyle w:val="5"/>
        <w:spacing w:line="360" w:lineRule="auto"/>
        <w:rPr>
          <w:rFonts w:ascii="仿宋" w:hAnsi="仿宋" w:eastAsia="仿宋" w:cs="仿宋"/>
          <w:color w:val="auto"/>
          <w:szCs w:val="28"/>
          <w:highlight w:val="none"/>
        </w:rPr>
      </w:pPr>
      <w:bookmarkStart w:id="19" w:name="_Toc29989"/>
      <w:r>
        <w:rPr>
          <w:rFonts w:hint="eastAsia" w:ascii="仿宋" w:hAnsi="仿宋" w:eastAsia="仿宋" w:cs="仿宋"/>
          <w:color w:val="auto"/>
          <w:szCs w:val="28"/>
          <w:highlight w:val="none"/>
          <w:lang w:val="en-US" w:eastAsia="zh-CN"/>
        </w:rPr>
        <w:t>2.3.3.2</w:t>
      </w:r>
      <w:r>
        <w:rPr>
          <w:rFonts w:hint="eastAsia" w:ascii="仿宋" w:hAnsi="仿宋" w:eastAsia="仿宋" w:cs="仿宋"/>
          <w:color w:val="auto"/>
          <w:szCs w:val="28"/>
          <w:highlight w:val="none"/>
        </w:rPr>
        <w:t>地震</w:t>
      </w:r>
      <w:bookmarkEnd w:id="19"/>
    </w:p>
    <w:p w14:paraId="7DA261AE">
      <w:pPr>
        <w:pStyle w:val="21"/>
        <w:adjustRightInd w:val="0"/>
        <w:snapToGrid w:val="0"/>
        <w:spacing w:after="0" w:afterLines="0"/>
        <w:ind w:left="0" w:leftChars="0" w:firstLine="560" w:firstLineChars="200"/>
        <w:rPr>
          <w:rFonts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重庆地区位于我国南北地震带中断，有三大地震断裂带。在华蓥山、七曜山—金佛山和长寿—贵州遵义一带，历史上曾发生多次地震。自公元前26年以来，有记载的大于或等于4.7级的地震有20余次，属地震活动性弱的地震活动区。属于中强地震频发地区，为国务院确定的全国地震重点监视防御城市。自2002年以来，湖北巴东—巫山、忠县—石柱两带小震明显活跃。目前监测到的最大一次地震2008年5月12日汶川地震，其次还有2004年11月22日，石柱县发生的4.6级地震，震中烈度为5级，有感面积为900平方米；武隆县江口地震震级为3.5级，地震烈度为6度；巫溪县孔梁水库诱发的3.4级地震，地面房屋被破坏。重庆地震的特点是震源很浅，比如1989年11月20日渝北区统景发生的地震，震源深度仅5公里，对地面建筑的破坏相当大，重庆地区有记录的中强地震见下表。</w:t>
      </w:r>
    </w:p>
    <w:p w14:paraId="4EE7521B">
      <w:pPr>
        <w:pStyle w:val="21"/>
        <w:adjustRightInd w:val="0"/>
        <w:snapToGrid w:val="0"/>
        <w:spacing w:after="0" w:afterLines="0"/>
        <w:ind w:left="0" w:leftChars="0" w:firstLine="0" w:firstLineChars="0"/>
        <w:rPr>
          <w:rFonts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根据上述资料，路段区历史上未出现过大于6度的地震。本区新构造运动主要为间歇性抬升，属构造较稳定的地区。</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896"/>
        <w:gridCol w:w="1176"/>
        <w:gridCol w:w="4056"/>
        <w:gridCol w:w="1176"/>
        <w:gridCol w:w="696"/>
      </w:tblGrid>
      <w:tr w14:paraId="2019F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jc w:val="center"/>
        </w:trPr>
        <w:tc>
          <w:tcPr>
            <w:tcW w:w="0" w:type="auto"/>
            <w:gridSpan w:val="6"/>
            <w:vAlign w:val="center"/>
          </w:tcPr>
          <w:p w14:paraId="783364D0">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表2.3.2-1   重庆地区有记录的中强地震一览表</w:t>
            </w:r>
          </w:p>
        </w:tc>
      </w:tr>
      <w:tr w14:paraId="51FF8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tblHeader/>
          <w:jc w:val="center"/>
        </w:trPr>
        <w:tc>
          <w:tcPr>
            <w:tcW w:w="0" w:type="auto"/>
            <w:vAlign w:val="center"/>
          </w:tcPr>
          <w:p w14:paraId="1141B45A">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发生时间</w:t>
            </w:r>
          </w:p>
        </w:tc>
        <w:tc>
          <w:tcPr>
            <w:tcW w:w="0" w:type="auto"/>
            <w:vAlign w:val="center"/>
          </w:tcPr>
          <w:p w14:paraId="5FBC78E1">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震级</w:t>
            </w:r>
          </w:p>
        </w:tc>
        <w:tc>
          <w:tcPr>
            <w:tcW w:w="0" w:type="auto"/>
            <w:vAlign w:val="center"/>
          </w:tcPr>
          <w:p w14:paraId="525248DC">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震中烈度</w:t>
            </w:r>
          </w:p>
        </w:tc>
        <w:tc>
          <w:tcPr>
            <w:tcW w:w="0" w:type="auto"/>
            <w:vAlign w:val="center"/>
          </w:tcPr>
          <w:p w14:paraId="448711A1">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发震地</w:t>
            </w:r>
          </w:p>
        </w:tc>
        <w:tc>
          <w:tcPr>
            <w:tcW w:w="0" w:type="auto"/>
            <w:vAlign w:val="center"/>
          </w:tcPr>
          <w:p w14:paraId="7FDA62AC">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城区烈度</w:t>
            </w:r>
          </w:p>
        </w:tc>
        <w:tc>
          <w:tcPr>
            <w:tcW w:w="0" w:type="auto"/>
            <w:vAlign w:val="center"/>
          </w:tcPr>
          <w:p w14:paraId="50E4C213">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备注</w:t>
            </w:r>
          </w:p>
        </w:tc>
      </w:tr>
      <w:tr w14:paraId="05BFF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0" w:type="auto"/>
            <w:vAlign w:val="center"/>
          </w:tcPr>
          <w:p w14:paraId="0FB33437">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1854.12.24</w:t>
            </w:r>
          </w:p>
        </w:tc>
        <w:tc>
          <w:tcPr>
            <w:tcW w:w="0" w:type="auto"/>
            <w:vAlign w:val="center"/>
          </w:tcPr>
          <w:p w14:paraId="71F6618C">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5.5</w:t>
            </w:r>
          </w:p>
        </w:tc>
        <w:tc>
          <w:tcPr>
            <w:tcW w:w="0" w:type="auto"/>
            <w:vAlign w:val="center"/>
          </w:tcPr>
          <w:p w14:paraId="1AC9D77B">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Ⅶ</w:t>
            </w:r>
          </w:p>
        </w:tc>
        <w:tc>
          <w:tcPr>
            <w:tcW w:w="0" w:type="auto"/>
            <w:vAlign w:val="center"/>
          </w:tcPr>
          <w:p w14:paraId="653E0D9A">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重庆南川</w:t>
            </w:r>
          </w:p>
        </w:tc>
        <w:tc>
          <w:tcPr>
            <w:tcW w:w="0" w:type="auto"/>
            <w:vAlign w:val="center"/>
          </w:tcPr>
          <w:p w14:paraId="1C6EA1BD">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Ⅳ</w:t>
            </w:r>
          </w:p>
        </w:tc>
        <w:tc>
          <w:tcPr>
            <w:tcW w:w="0" w:type="auto"/>
            <w:vAlign w:val="center"/>
          </w:tcPr>
          <w:p w14:paraId="5F636F3A">
            <w:pPr>
              <w:pStyle w:val="58"/>
              <w:rPr>
                <w:rFonts w:ascii="Times New Roman" w:hAnsi="Times New Roman" w:eastAsia="仿宋" w:cs="Times New Roman"/>
                <w:color w:val="auto"/>
                <w:sz w:val="24"/>
                <w:highlight w:val="none"/>
              </w:rPr>
            </w:pPr>
          </w:p>
        </w:tc>
      </w:tr>
      <w:tr w14:paraId="16FA2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0" w:type="auto"/>
            <w:vAlign w:val="center"/>
          </w:tcPr>
          <w:p w14:paraId="0A086682">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1855.8</w:t>
            </w:r>
          </w:p>
        </w:tc>
        <w:tc>
          <w:tcPr>
            <w:tcW w:w="0" w:type="auto"/>
            <w:vAlign w:val="center"/>
          </w:tcPr>
          <w:p w14:paraId="1768F6A3">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4.75</w:t>
            </w:r>
          </w:p>
        </w:tc>
        <w:tc>
          <w:tcPr>
            <w:tcW w:w="0" w:type="auto"/>
            <w:vAlign w:val="center"/>
          </w:tcPr>
          <w:p w14:paraId="2FCF4628">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Ⅵ</w:t>
            </w:r>
          </w:p>
        </w:tc>
        <w:tc>
          <w:tcPr>
            <w:tcW w:w="0" w:type="auto"/>
            <w:vAlign w:val="center"/>
          </w:tcPr>
          <w:p w14:paraId="2C9248FF">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重庆彭水</w:t>
            </w:r>
          </w:p>
        </w:tc>
        <w:tc>
          <w:tcPr>
            <w:tcW w:w="0" w:type="auto"/>
            <w:vAlign w:val="center"/>
          </w:tcPr>
          <w:p w14:paraId="63FF9F10">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≤Ⅳ</w:t>
            </w:r>
          </w:p>
        </w:tc>
        <w:tc>
          <w:tcPr>
            <w:tcW w:w="0" w:type="auto"/>
            <w:vAlign w:val="center"/>
          </w:tcPr>
          <w:p w14:paraId="25FE954E">
            <w:pPr>
              <w:pStyle w:val="58"/>
              <w:rPr>
                <w:rFonts w:ascii="Times New Roman" w:hAnsi="Times New Roman" w:eastAsia="仿宋" w:cs="Times New Roman"/>
                <w:color w:val="auto"/>
                <w:sz w:val="24"/>
                <w:highlight w:val="none"/>
              </w:rPr>
            </w:pPr>
          </w:p>
        </w:tc>
      </w:tr>
      <w:tr w14:paraId="763E5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0" w:type="auto"/>
            <w:vAlign w:val="center"/>
          </w:tcPr>
          <w:p w14:paraId="2A215576">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1856.6.10</w:t>
            </w:r>
          </w:p>
        </w:tc>
        <w:tc>
          <w:tcPr>
            <w:tcW w:w="0" w:type="auto"/>
            <w:vAlign w:val="center"/>
          </w:tcPr>
          <w:p w14:paraId="0C811266">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6.25</w:t>
            </w:r>
          </w:p>
        </w:tc>
        <w:tc>
          <w:tcPr>
            <w:tcW w:w="0" w:type="auto"/>
            <w:vAlign w:val="center"/>
          </w:tcPr>
          <w:p w14:paraId="3E1739FD">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Ⅷ</w:t>
            </w:r>
          </w:p>
        </w:tc>
        <w:tc>
          <w:tcPr>
            <w:tcW w:w="0" w:type="auto"/>
            <w:vAlign w:val="center"/>
          </w:tcPr>
          <w:p w14:paraId="7A31D303">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重庆黔江</w:t>
            </w:r>
          </w:p>
        </w:tc>
        <w:tc>
          <w:tcPr>
            <w:tcW w:w="0" w:type="auto"/>
            <w:vAlign w:val="center"/>
          </w:tcPr>
          <w:p w14:paraId="585B0CE8">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≤Ⅴ</w:t>
            </w:r>
          </w:p>
        </w:tc>
        <w:tc>
          <w:tcPr>
            <w:tcW w:w="0" w:type="auto"/>
            <w:vAlign w:val="center"/>
          </w:tcPr>
          <w:p w14:paraId="3E6BE307">
            <w:pPr>
              <w:pStyle w:val="58"/>
              <w:rPr>
                <w:rFonts w:ascii="Times New Roman" w:hAnsi="Times New Roman" w:eastAsia="仿宋" w:cs="Times New Roman"/>
                <w:color w:val="auto"/>
                <w:sz w:val="24"/>
                <w:highlight w:val="none"/>
              </w:rPr>
            </w:pPr>
          </w:p>
        </w:tc>
      </w:tr>
      <w:tr w14:paraId="4DB77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0" w:type="auto"/>
            <w:vAlign w:val="center"/>
          </w:tcPr>
          <w:p w14:paraId="2E8FC38D">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1989.11.20</w:t>
            </w:r>
          </w:p>
        </w:tc>
        <w:tc>
          <w:tcPr>
            <w:tcW w:w="0" w:type="auto"/>
            <w:vAlign w:val="center"/>
          </w:tcPr>
          <w:p w14:paraId="6C15931A">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5.2-5.4</w:t>
            </w:r>
          </w:p>
        </w:tc>
        <w:tc>
          <w:tcPr>
            <w:tcW w:w="0" w:type="auto"/>
            <w:vAlign w:val="center"/>
          </w:tcPr>
          <w:p w14:paraId="0F6C78A0">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Ⅶ</w:t>
            </w:r>
          </w:p>
        </w:tc>
        <w:tc>
          <w:tcPr>
            <w:tcW w:w="0" w:type="auto"/>
            <w:vAlign w:val="center"/>
          </w:tcPr>
          <w:p w14:paraId="2BF8FD00">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渝北统景</w:t>
            </w:r>
          </w:p>
        </w:tc>
        <w:tc>
          <w:tcPr>
            <w:tcW w:w="0" w:type="auto"/>
            <w:vAlign w:val="center"/>
          </w:tcPr>
          <w:p w14:paraId="7D803F18">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Ⅳ</w:t>
            </w:r>
          </w:p>
        </w:tc>
        <w:tc>
          <w:tcPr>
            <w:tcW w:w="0" w:type="auto"/>
            <w:vAlign w:val="center"/>
          </w:tcPr>
          <w:p w14:paraId="239911B5">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双震</w:t>
            </w:r>
          </w:p>
        </w:tc>
      </w:tr>
      <w:tr w14:paraId="43CEE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0" w:type="auto"/>
            <w:vAlign w:val="center"/>
          </w:tcPr>
          <w:p w14:paraId="31DF1361">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1999.8.17</w:t>
            </w:r>
          </w:p>
        </w:tc>
        <w:tc>
          <w:tcPr>
            <w:tcW w:w="0" w:type="auto"/>
            <w:vAlign w:val="center"/>
          </w:tcPr>
          <w:p w14:paraId="72EC3416">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5.0</w:t>
            </w:r>
          </w:p>
        </w:tc>
        <w:tc>
          <w:tcPr>
            <w:tcW w:w="0" w:type="auto"/>
            <w:vAlign w:val="center"/>
          </w:tcPr>
          <w:p w14:paraId="61E4D771">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Ⅵ</w:t>
            </w:r>
          </w:p>
        </w:tc>
        <w:tc>
          <w:tcPr>
            <w:tcW w:w="0" w:type="auto"/>
            <w:vAlign w:val="center"/>
          </w:tcPr>
          <w:p w14:paraId="6343D2CB">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重庆荣昌县</w:t>
            </w:r>
          </w:p>
        </w:tc>
        <w:tc>
          <w:tcPr>
            <w:tcW w:w="0" w:type="auto"/>
            <w:vAlign w:val="center"/>
          </w:tcPr>
          <w:p w14:paraId="65E1A8A5">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Ⅲ</w:t>
            </w:r>
          </w:p>
        </w:tc>
        <w:tc>
          <w:tcPr>
            <w:tcW w:w="0" w:type="auto"/>
            <w:vAlign w:val="center"/>
          </w:tcPr>
          <w:p w14:paraId="50424D85">
            <w:pPr>
              <w:pStyle w:val="58"/>
              <w:rPr>
                <w:rFonts w:ascii="Times New Roman" w:hAnsi="Times New Roman" w:eastAsia="仿宋" w:cs="Times New Roman"/>
                <w:color w:val="auto"/>
                <w:sz w:val="24"/>
                <w:highlight w:val="none"/>
              </w:rPr>
            </w:pPr>
          </w:p>
        </w:tc>
      </w:tr>
      <w:tr w14:paraId="5919F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0" w:type="auto"/>
            <w:vAlign w:val="center"/>
          </w:tcPr>
          <w:p w14:paraId="78AC08DB">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1997.8.13</w:t>
            </w:r>
          </w:p>
        </w:tc>
        <w:tc>
          <w:tcPr>
            <w:tcW w:w="0" w:type="auto"/>
            <w:vAlign w:val="center"/>
          </w:tcPr>
          <w:p w14:paraId="1AF97744">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5.2</w:t>
            </w:r>
          </w:p>
        </w:tc>
        <w:tc>
          <w:tcPr>
            <w:tcW w:w="0" w:type="auto"/>
            <w:vAlign w:val="center"/>
          </w:tcPr>
          <w:p w14:paraId="23B7B69A">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Ⅶ</w:t>
            </w:r>
          </w:p>
        </w:tc>
        <w:tc>
          <w:tcPr>
            <w:tcW w:w="0" w:type="auto"/>
            <w:vAlign w:val="center"/>
          </w:tcPr>
          <w:p w14:paraId="5546D3A5">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重庆荣昌</w:t>
            </w:r>
          </w:p>
        </w:tc>
        <w:tc>
          <w:tcPr>
            <w:tcW w:w="0" w:type="auto"/>
            <w:vAlign w:val="center"/>
          </w:tcPr>
          <w:p w14:paraId="66665E10">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Ⅲ</w:t>
            </w:r>
          </w:p>
        </w:tc>
        <w:tc>
          <w:tcPr>
            <w:tcW w:w="0" w:type="auto"/>
            <w:vAlign w:val="center"/>
          </w:tcPr>
          <w:p w14:paraId="4AA1A48D">
            <w:pPr>
              <w:pStyle w:val="58"/>
              <w:rPr>
                <w:rFonts w:ascii="Times New Roman" w:hAnsi="Times New Roman" w:eastAsia="仿宋" w:cs="Times New Roman"/>
                <w:color w:val="auto"/>
                <w:sz w:val="24"/>
                <w:highlight w:val="none"/>
              </w:rPr>
            </w:pPr>
          </w:p>
        </w:tc>
      </w:tr>
      <w:tr w14:paraId="7A291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0" w:type="auto"/>
            <w:vAlign w:val="center"/>
          </w:tcPr>
          <w:p w14:paraId="21E93086">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2001.6.23</w:t>
            </w:r>
          </w:p>
        </w:tc>
        <w:tc>
          <w:tcPr>
            <w:tcW w:w="0" w:type="auto"/>
            <w:vAlign w:val="center"/>
          </w:tcPr>
          <w:p w14:paraId="7E397FEC">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4.9</w:t>
            </w:r>
          </w:p>
        </w:tc>
        <w:tc>
          <w:tcPr>
            <w:tcW w:w="0" w:type="auto"/>
            <w:vAlign w:val="center"/>
          </w:tcPr>
          <w:p w14:paraId="4EB6947D">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Ⅵ</w:t>
            </w:r>
          </w:p>
        </w:tc>
        <w:tc>
          <w:tcPr>
            <w:tcW w:w="0" w:type="auto"/>
            <w:vAlign w:val="center"/>
          </w:tcPr>
          <w:p w14:paraId="37AC3299">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重庆荣昌</w:t>
            </w:r>
          </w:p>
        </w:tc>
        <w:tc>
          <w:tcPr>
            <w:tcW w:w="0" w:type="auto"/>
            <w:vAlign w:val="center"/>
          </w:tcPr>
          <w:p w14:paraId="1FD259AF">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≤Ⅲ</w:t>
            </w:r>
          </w:p>
        </w:tc>
        <w:tc>
          <w:tcPr>
            <w:tcW w:w="0" w:type="auto"/>
            <w:vAlign w:val="center"/>
          </w:tcPr>
          <w:p w14:paraId="1D58A217">
            <w:pPr>
              <w:pStyle w:val="58"/>
              <w:rPr>
                <w:rFonts w:ascii="Times New Roman" w:hAnsi="Times New Roman" w:eastAsia="仿宋" w:cs="Times New Roman"/>
                <w:color w:val="auto"/>
                <w:sz w:val="24"/>
                <w:highlight w:val="none"/>
              </w:rPr>
            </w:pPr>
          </w:p>
        </w:tc>
      </w:tr>
      <w:tr w14:paraId="43977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0" w:type="auto"/>
            <w:vAlign w:val="center"/>
          </w:tcPr>
          <w:p w14:paraId="4721BD49">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2004.11.22</w:t>
            </w:r>
          </w:p>
        </w:tc>
        <w:tc>
          <w:tcPr>
            <w:tcW w:w="0" w:type="auto"/>
            <w:vAlign w:val="center"/>
          </w:tcPr>
          <w:p w14:paraId="14AF69F7">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4.6</w:t>
            </w:r>
          </w:p>
        </w:tc>
        <w:tc>
          <w:tcPr>
            <w:tcW w:w="0" w:type="auto"/>
            <w:vAlign w:val="center"/>
          </w:tcPr>
          <w:p w14:paraId="2A98D8CF">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Ⅴ</w:t>
            </w:r>
          </w:p>
        </w:tc>
        <w:tc>
          <w:tcPr>
            <w:tcW w:w="0" w:type="auto"/>
            <w:vAlign w:val="center"/>
          </w:tcPr>
          <w:p w14:paraId="7F6D1290">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重庆石柱县</w:t>
            </w:r>
          </w:p>
        </w:tc>
        <w:tc>
          <w:tcPr>
            <w:tcW w:w="0" w:type="auto"/>
            <w:vAlign w:val="center"/>
          </w:tcPr>
          <w:p w14:paraId="25AEC87F">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有感</w:t>
            </w:r>
          </w:p>
        </w:tc>
        <w:tc>
          <w:tcPr>
            <w:tcW w:w="0" w:type="auto"/>
            <w:vAlign w:val="center"/>
          </w:tcPr>
          <w:p w14:paraId="5BE82361">
            <w:pPr>
              <w:pStyle w:val="58"/>
              <w:rPr>
                <w:rFonts w:ascii="Times New Roman" w:hAnsi="Times New Roman" w:eastAsia="仿宋" w:cs="Times New Roman"/>
                <w:color w:val="auto"/>
                <w:sz w:val="24"/>
                <w:highlight w:val="none"/>
              </w:rPr>
            </w:pPr>
          </w:p>
        </w:tc>
      </w:tr>
      <w:tr w14:paraId="152C4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0" w:type="auto"/>
            <w:vAlign w:val="center"/>
          </w:tcPr>
          <w:p w14:paraId="1F96C120">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2008.5.12</w:t>
            </w:r>
          </w:p>
        </w:tc>
        <w:tc>
          <w:tcPr>
            <w:tcW w:w="0" w:type="auto"/>
            <w:vAlign w:val="center"/>
          </w:tcPr>
          <w:p w14:paraId="7937CC60">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8.0</w:t>
            </w:r>
          </w:p>
        </w:tc>
        <w:tc>
          <w:tcPr>
            <w:tcW w:w="0" w:type="auto"/>
            <w:vAlign w:val="center"/>
          </w:tcPr>
          <w:p w14:paraId="58E0D8EF">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Ⅺ</w:t>
            </w:r>
          </w:p>
        </w:tc>
        <w:tc>
          <w:tcPr>
            <w:tcW w:w="0" w:type="auto"/>
            <w:vAlign w:val="center"/>
          </w:tcPr>
          <w:p w14:paraId="3CCD8B2A">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四川省汶川</w:t>
            </w:r>
          </w:p>
        </w:tc>
        <w:tc>
          <w:tcPr>
            <w:tcW w:w="0" w:type="auto"/>
            <w:vAlign w:val="center"/>
          </w:tcPr>
          <w:p w14:paraId="6C406F3D">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Ⅴ</w:t>
            </w:r>
          </w:p>
        </w:tc>
        <w:tc>
          <w:tcPr>
            <w:tcW w:w="0" w:type="auto"/>
            <w:vAlign w:val="center"/>
          </w:tcPr>
          <w:p w14:paraId="0FD23CAA">
            <w:pPr>
              <w:pStyle w:val="58"/>
              <w:rPr>
                <w:rFonts w:ascii="Times New Roman" w:hAnsi="Times New Roman" w:eastAsia="仿宋" w:cs="Times New Roman"/>
                <w:color w:val="auto"/>
                <w:sz w:val="24"/>
                <w:highlight w:val="none"/>
              </w:rPr>
            </w:pPr>
          </w:p>
        </w:tc>
      </w:tr>
      <w:tr w14:paraId="73D7A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0" w:type="auto"/>
            <w:vAlign w:val="center"/>
          </w:tcPr>
          <w:p w14:paraId="604DD0AA">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2010.1.31</w:t>
            </w:r>
          </w:p>
        </w:tc>
        <w:tc>
          <w:tcPr>
            <w:tcW w:w="0" w:type="auto"/>
            <w:vAlign w:val="center"/>
          </w:tcPr>
          <w:p w14:paraId="620EAEA7">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5.0</w:t>
            </w:r>
          </w:p>
        </w:tc>
        <w:tc>
          <w:tcPr>
            <w:tcW w:w="0" w:type="auto"/>
            <w:vAlign w:val="center"/>
          </w:tcPr>
          <w:p w14:paraId="781A8BC3">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Ⅶ</w:t>
            </w:r>
          </w:p>
        </w:tc>
        <w:tc>
          <w:tcPr>
            <w:tcW w:w="0" w:type="auto"/>
            <w:vAlign w:val="center"/>
          </w:tcPr>
          <w:p w14:paraId="1D132E05">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四川省遂宁市与重庆市潼南县交界处</w:t>
            </w:r>
          </w:p>
        </w:tc>
        <w:tc>
          <w:tcPr>
            <w:tcW w:w="0" w:type="auto"/>
            <w:vAlign w:val="center"/>
          </w:tcPr>
          <w:p w14:paraId="69DB94C5">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有感</w:t>
            </w:r>
          </w:p>
        </w:tc>
        <w:tc>
          <w:tcPr>
            <w:tcW w:w="0" w:type="auto"/>
            <w:vAlign w:val="center"/>
          </w:tcPr>
          <w:p w14:paraId="06C17ECA">
            <w:pPr>
              <w:pStyle w:val="58"/>
              <w:rPr>
                <w:rFonts w:ascii="Times New Roman" w:hAnsi="Times New Roman" w:eastAsia="仿宋" w:cs="Times New Roman"/>
                <w:color w:val="auto"/>
                <w:sz w:val="24"/>
                <w:highlight w:val="none"/>
              </w:rPr>
            </w:pPr>
          </w:p>
        </w:tc>
      </w:tr>
      <w:tr w14:paraId="2F00A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0" w:type="auto"/>
            <w:vAlign w:val="center"/>
          </w:tcPr>
          <w:p w14:paraId="18DECA8A">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2016.12.27</w:t>
            </w:r>
          </w:p>
        </w:tc>
        <w:tc>
          <w:tcPr>
            <w:tcW w:w="0" w:type="auto"/>
            <w:vAlign w:val="center"/>
          </w:tcPr>
          <w:p w14:paraId="30DE8D03">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4.8</w:t>
            </w:r>
          </w:p>
        </w:tc>
        <w:tc>
          <w:tcPr>
            <w:tcW w:w="0" w:type="auto"/>
            <w:vAlign w:val="center"/>
          </w:tcPr>
          <w:p w14:paraId="7E4D2CD7">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Ⅵ</w:t>
            </w:r>
          </w:p>
        </w:tc>
        <w:tc>
          <w:tcPr>
            <w:tcW w:w="0" w:type="auto"/>
            <w:vAlign w:val="center"/>
          </w:tcPr>
          <w:p w14:paraId="5E985F48">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重庆荣昌</w:t>
            </w:r>
          </w:p>
        </w:tc>
        <w:tc>
          <w:tcPr>
            <w:tcW w:w="0" w:type="auto"/>
            <w:vAlign w:val="center"/>
          </w:tcPr>
          <w:p w14:paraId="111736F0">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有感</w:t>
            </w:r>
          </w:p>
        </w:tc>
        <w:tc>
          <w:tcPr>
            <w:tcW w:w="0" w:type="auto"/>
            <w:vAlign w:val="center"/>
          </w:tcPr>
          <w:p w14:paraId="566561C8">
            <w:pPr>
              <w:pStyle w:val="58"/>
              <w:rPr>
                <w:rFonts w:ascii="Times New Roman" w:hAnsi="Times New Roman" w:eastAsia="仿宋" w:cs="Times New Roman"/>
                <w:color w:val="auto"/>
                <w:sz w:val="24"/>
                <w:highlight w:val="none"/>
              </w:rPr>
            </w:pPr>
          </w:p>
        </w:tc>
      </w:tr>
      <w:tr w14:paraId="73E39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0" w:type="auto"/>
            <w:vAlign w:val="center"/>
          </w:tcPr>
          <w:p w14:paraId="21499146">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2017.11.23</w:t>
            </w:r>
          </w:p>
        </w:tc>
        <w:tc>
          <w:tcPr>
            <w:tcW w:w="0" w:type="auto"/>
            <w:vAlign w:val="center"/>
          </w:tcPr>
          <w:p w14:paraId="13FC8776">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5.0</w:t>
            </w:r>
          </w:p>
        </w:tc>
        <w:tc>
          <w:tcPr>
            <w:tcW w:w="0" w:type="auto"/>
            <w:vAlign w:val="center"/>
          </w:tcPr>
          <w:p w14:paraId="2AE347A0">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Ⅵ</w:t>
            </w:r>
          </w:p>
        </w:tc>
        <w:tc>
          <w:tcPr>
            <w:tcW w:w="0" w:type="auto"/>
            <w:vAlign w:val="center"/>
          </w:tcPr>
          <w:p w14:paraId="68FCE27B">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重庆武隆</w:t>
            </w:r>
          </w:p>
        </w:tc>
        <w:tc>
          <w:tcPr>
            <w:tcW w:w="0" w:type="auto"/>
            <w:vAlign w:val="center"/>
          </w:tcPr>
          <w:p w14:paraId="491A9BE5">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有感</w:t>
            </w:r>
          </w:p>
        </w:tc>
        <w:tc>
          <w:tcPr>
            <w:tcW w:w="0" w:type="auto"/>
            <w:vAlign w:val="center"/>
          </w:tcPr>
          <w:p w14:paraId="1C9B7CB4">
            <w:pPr>
              <w:pStyle w:val="58"/>
              <w:rPr>
                <w:rFonts w:ascii="Times New Roman" w:hAnsi="Times New Roman" w:eastAsia="仿宋" w:cs="Times New Roman"/>
                <w:color w:val="auto"/>
                <w:sz w:val="24"/>
                <w:highlight w:val="none"/>
              </w:rPr>
            </w:pPr>
          </w:p>
        </w:tc>
      </w:tr>
      <w:tr w14:paraId="518A7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0" w:type="auto"/>
            <w:vAlign w:val="center"/>
          </w:tcPr>
          <w:p w14:paraId="7A538FFD">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2021.9.16</w:t>
            </w:r>
          </w:p>
        </w:tc>
        <w:tc>
          <w:tcPr>
            <w:tcW w:w="0" w:type="auto"/>
            <w:vAlign w:val="center"/>
          </w:tcPr>
          <w:p w14:paraId="55ACC6AE">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6.0</w:t>
            </w:r>
          </w:p>
        </w:tc>
        <w:tc>
          <w:tcPr>
            <w:tcW w:w="0" w:type="auto"/>
            <w:vAlign w:val="center"/>
          </w:tcPr>
          <w:p w14:paraId="66C6E396">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Ⅷ</w:t>
            </w:r>
          </w:p>
        </w:tc>
        <w:tc>
          <w:tcPr>
            <w:tcW w:w="0" w:type="auto"/>
            <w:vAlign w:val="center"/>
          </w:tcPr>
          <w:p w14:paraId="598E399F">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四川省泸州市泸县</w:t>
            </w:r>
          </w:p>
        </w:tc>
        <w:tc>
          <w:tcPr>
            <w:tcW w:w="0" w:type="auto"/>
            <w:vAlign w:val="center"/>
          </w:tcPr>
          <w:p w14:paraId="478CFCDB">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有感</w:t>
            </w:r>
          </w:p>
        </w:tc>
        <w:tc>
          <w:tcPr>
            <w:tcW w:w="0" w:type="auto"/>
            <w:vAlign w:val="center"/>
          </w:tcPr>
          <w:p w14:paraId="603D908A">
            <w:pPr>
              <w:pStyle w:val="58"/>
              <w:rPr>
                <w:rFonts w:ascii="Times New Roman" w:hAnsi="Times New Roman" w:eastAsia="仿宋" w:cs="Times New Roman"/>
                <w:color w:val="auto"/>
                <w:sz w:val="24"/>
                <w:highlight w:val="none"/>
              </w:rPr>
            </w:pPr>
          </w:p>
        </w:tc>
      </w:tr>
      <w:tr w14:paraId="104DF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0" w:type="auto"/>
            <w:vAlign w:val="center"/>
          </w:tcPr>
          <w:p w14:paraId="71278593">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2022.9.5</w:t>
            </w:r>
          </w:p>
        </w:tc>
        <w:tc>
          <w:tcPr>
            <w:tcW w:w="0" w:type="auto"/>
            <w:vAlign w:val="center"/>
          </w:tcPr>
          <w:p w14:paraId="01FBB8BD">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6.8</w:t>
            </w:r>
          </w:p>
        </w:tc>
        <w:tc>
          <w:tcPr>
            <w:tcW w:w="0" w:type="auto"/>
            <w:vAlign w:val="center"/>
          </w:tcPr>
          <w:p w14:paraId="6012B6AF">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Ⅷ</w:t>
            </w:r>
          </w:p>
        </w:tc>
        <w:tc>
          <w:tcPr>
            <w:tcW w:w="0" w:type="auto"/>
            <w:vAlign w:val="center"/>
          </w:tcPr>
          <w:p w14:paraId="01FF70E1">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四川甘孜州泸定县</w:t>
            </w:r>
          </w:p>
        </w:tc>
        <w:tc>
          <w:tcPr>
            <w:tcW w:w="0" w:type="auto"/>
            <w:vAlign w:val="center"/>
          </w:tcPr>
          <w:p w14:paraId="6F4BCCAA">
            <w:pPr>
              <w:pStyle w:val="58"/>
              <w:rPr>
                <w:rFonts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有感</w:t>
            </w:r>
          </w:p>
        </w:tc>
        <w:tc>
          <w:tcPr>
            <w:tcW w:w="0" w:type="auto"/>
            <w:vAlign w:val="center"/>
          </w:tcPr>
          <w:p w14:paraId="3D979DB9">
            <w:pPr>
              <w:pStyle w:val="58"/>
              <w:rPr>
                <w:rFonts w:ascii="Times New Roman" w:hAnsi="Times New Roman" w:eastAsia="仿宋" w:cs="Times New Roman"/>
                <w:color w:val="auto"/>
                <w:sz w:val="24"/>
                <w:highlight w:val="none"/>
              </w:rPr>
            </w:pPr>
          </w:p>
        </w:tc>
      </w:tr>
    </w:tbl>
    <w:p w14:paraId="18E197F1">
      <w:pPr>
        <w:pStyle w:val="21"/>
        <w:adjustRightInd w:val="0"/>
        <w:snapToGrid w:val="0"/>
        <w:spacing w:after="0" w:afterLines="0"/>
        <w:ind w:left="0" w:leftChars="0" w:firstLine="560" w:firstLineChars="200"/>
        <w:rPr>
          <w:rFonts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根据《中国地震动参数区划图》（GB18306—2015）及《建筑抗震设计规范》（GB/T50011－2010）2016年版的规定，重庆市抗震设防烈度为6度，设计基本地震加速度值为0.05g，设计地震分组为第一组。</w:t>
      </w:r>
    </w:p>
    <w:p w14:paraId="3AF3B61E">
      <w:pPr>
        <w:pStyle w:val="4"/>
        <w:spacing w:before="0" w:after="0" w:line="360" w:lineRule="auto"/>
        <w:rPr>
          <w:rFonts w:ascii="仿宋" w:hAnsi="仿宋" w:eastAsia="仿宋" w:cs="仿宋"/>
          <w:color w:val="auto"/>
          <w:sz w:val="28"/>
          <w:szCs w:val="28"/>
          <w:highlight w:val="none"/>
        </w:rPr>
      </w:pPr>
      <w:bookmarkStart w:id="20" w:name="_Toc27158"/>
      <w:bookmarkStart w:id="21" w:name="_Toc4674"/>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4 地层岩性</w:t>
      </w:r>
      <w:bookmarkEnd w:id="20"/>
      <w:bookmarkEnd w:id="21"/>
    </w:p>
    <w:p w14:paraId="2B4B8F01">
      <w:pPr>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据调查和钻探揭示，勘察区地层为第四系人工填土（Q</w:t>
      </w:r>
      <w:r>
        <w:rPr>
          <w:rFonts w:hint="eastAsia" w:ascii="仿宋" w:hAnsi="仿宋" w:eastAsia="仿宋" w:cs="仿宋"/>
          <w:bCs/>
          <w:color w:val="auto"/>
          <w:sz w:val="28"/>
          <w:szCs w:val="28"/>
          <w:highlight w:val="none"/>
          <w:vertAlign w:val="subscript"/>
        </w:rPr>
        <w:t>4</w:t>
      </w:r>
      <w:r>
        <w:rPr>
          <w:rFonts w:hint="eastAsia" w:ascii="仿宋" w:hAnsi="仿宋" w:eastAsia="仿宋" w:cs="仿宋"/>
          <w:bCs/>
          <w:color w:val="auto"/>
          <w:sz w:val="28"/>
          <w:szCs w:val="28"/>
          <w:highlight w:val="none"/>
          <w:vertAlign w:val="superscript"/>
        </w:rPr>
        <w:t>ml</w:t>
      </w:r>
      <w:r>
        <w:rPr>
          <w:rFonts w:hint="eastAsia" w:ascii="仿宋" w:hAnsi="仿宋" w:eastAsia="仿宋" w:cs="仿宋"/>
          <w:bCs/>
          <w:color w:val="auto"/>
          <w:sz w:val="28"/>
          <w:szCs w:val="28"/>
          <w:highlight w:val="none"/>
        </w:rPr>
        <w:t>）、第四系全新统粉质黏土、侏罗系中统上沙溪庙组砂质泥岩和砂岩互层分布。现将各岩土层工程特征自上而下（从新到老）分述如下：</w:t>
      </w:r>
    </w:p>
    <w:p w14:paraId="52BE0CD1">
      <w:pPr>
        <w:spacing w:line="360" w:lineRule="auto"/>
        <w:outlineLvl w:val="3"/>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2.3.4.4</w:t>
      </w:r>
      <w:r>
        <w:rPr>
          <w:rFonts w:hint="eastAsia" w:ascii="仿宋" w:hAnsi="仿宋" w:eastAsia="仿宋" w:cs="仿宋"/>
          <w:bCs/>
          <w:color w:val="auto"/>
          <w:sz w:val="28"/>
          <w:szCs w:val="28"/>
          <w:highlight w:val="none"/>
        </w:rPr>
        <w:t>第四系全新统（</w:t>
      </w:r>
      <w:r>
        <w:rPr>
          <w:rFonts w:hint="eastAsia" w:ascii="仿宋" w:hAnsi="仿宋" w:eastAsia="仿宋" w:cs="仿宋"/>
          <w:bCs/>
          <w:i/>
          <w:iCs/>
          <w:color w:val="auto"/>
          <w:sz w:val="28"/>
          <w:szCs w:val="28"/>
          <w:highlight w:val="none"/>
        </w:rPr>
        <w:t>Q</w:t>
      </w:r>
      <w:r>
        <w:rPr>
          <w:rFonts w:hint="eastAsia" w:ascii="仿宋" w:hAnsi="仿宋" w:eastAsia="仿宋" w:cs="仿宋"/>
          <w:bCs/>
          <w:i/>
          <w:iCs/>
          <w:color w:val="auto"/>
          <w:sz w:val="28"/>
          <w:szCs w:val="28"/>
          <w:highlight w:val="none"/>
          <w:vertAlign w:val="subscript"/>
        </w:rPr>
        <w:t>4</w:t>
      </w:r>
      <w:r>
        <w:rPr>
          <w:rFonts w:hint="eastAsia" w:ascii="仿宋" w:hAnsi="仿宋" w:eastAsia="仿宋" w:cs="仿宋"/>
          <w:bCs/>
          <w:color w:val="auto"/>
          <w:sz w:val="28"/>
          <w:szCs w:val="28"/>
          <w:highlight w:val="none"/>
        </w:rPr>
        <w:t>）</w:t>
      </w:r>
    </w:p>
    <w:p w14:paraId="3987DC97">
      <w:pPr>
        <w:adjustRightInd w:val="0"/>
        <w:snapToGrid w:val="0"/>
        <w:spacing w:line="360" w:lineRule="auto"/>
        <w:ind w:firstLine="560" w:firstLineChars="200"/>
        <w:jc w:val="left"/>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（1）人工堆积填土层（Q</w:t>
      </w:r>
      <w:r>
        <w:rPr>
          <w:rFonts w:hint="eastAsia" w:ascii="仿宋" w:hAnsi="仿宋" w:eastAsia="仿宋" w:cs="仿宋"/>
          <w:bCs/>
          <w:color w:val="auto"/>
          <w:sz w:val="28"/>
          <w:szCs w:val="28"/>
          <w:highlight w:val="none"/>
          <w:vertAlign w:val="subscript"/>
        </w:rPr>
        <w:t>4</w:t>
      </w:r>
      <w:r>
        <w:rPr>
          <w:rFonts w:hint="eastAsia" w:ascii="仿宋" w:hAnsi="仿宋" w:eastAsia="仿宋" w:cs="仿宋"/>
          <w:bCs/>
          <w:color w:val="auto"/>
          <w:sz w:val="28"/>
          <w:szCs w:val="28"/>
          <w:highlight w:val="none"/>
          <w:vertAlign w:val="superscript"/>
        </w:rPr>
        <w:t>ml</w:t>
      </w:r>
      <w:r>
        <w:rPr>
          <w:rFonts w:hint="eastAsia" w:ascii="仿宋" w:hAnsi="仿宋" w:eastAsia="仿宋" w:cs="仿宋"/>
          <w:bCs/>
          <w:color w:val="auto"/>
          <w:sz w:val="28"/>
          <w:szCs w:val="28"/>
          <w:highlight w:val="none"/>
        </w:rPr>
        <w:t>）</w:t>
      </w:r>
    </w:p>
    <w:p w14:paraId="3EFE4597">
      <w:pPr>
        <w:adjustRightInd w:val="0"/>
        <w:snapToGrid w:val="0"/>
        <w:spacing w:line="360" w:lineRule="auto"/>
        <w:ind w:firstLine="560" w:firstLineChars="200"/>
        <w:jc w:val="left"/>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杂色，主要由粉质黏土及砂、泥岩碎块石及少量建筑垃圾组成，硬质含量约25～50%，粒径一般约5～20cm，局部存在回填块石，发现最大粒径约1.3m，间隙充填可塑状粉质黏土以及风化的砂、泥岩碎屑物，稍湿，松散～中密，稍密为主，填料来源主要为周边拟建建筑场平弃渣。系修建道路及周边人行道、房屋时回填而成，回填时经过适当碾压，回填时间整体大于1年。填土层厚度0～19.5m不等，沿线路分厚度变化大。</w:t>
      </w:r>
    </w:p>
    <w:p w14:paraId="2DF000FE">
      <w:pPr>
        <w:adjustRightInd w:val="0"/>
        <w:snapToGrid w:val="0"/>
        <w:spacing w:line="360" w:lineRule="auto"/>
        <w:ind w:firstLine="560" w:firstLineChars="200"/>
        <w:jc w:val="left"/>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（2）残坡积粉质黏土(Q</w:t>
      </w:r>
      <w:r>
        <w:rPr>
          <w:rFonts w:hint="eastAsia" w:ascii="仿宋" w:hAnsi="仿宋" w:eastAsia="仿宋" w:cs="仿宋"/>
          <w:bCs/>
          <w:color w:val="auto"/>
          <w:sz w:val="28"/>
          <w:szCs w:val="28"/>
          <w:highlight w:val="none"/>
          <w:vertAlign w:val="subscript"/>
        </w:rPr>
        <w:t>4</w:t>
      </w:r>
      <w:r>
        <w:rPr>
          <w:rFonts w:hint="eastAsia" w:ascii="仿宋" w:hAnsi="仿宋" w:eastAsia="仿宋" w:cs="仿宋"/>
          <w:bCs/>
          <w:color w:val="auto"/>
          <w:sz w:val="28"/>
          <w:szCs w:val="28"/>
          <w:highlight w:val="none"/>
          <w:vertAlign w:val="superscript"/>
        </w:rPr>
        <w:t>dl+el</w:t>
      </w:r>
      <w:r>
        <w:rPr>
          <w:rFonts w:hint="eastAsia" w:ascii="仿宋" w:hAnsi="仿宋" w:eastAsia="仿宋" w:cs="仿宋"/>
          <w:bCs/>
          <w:color w:val="auto"/>
          <w:sz w:val="28"/>
          <w:szCs w:val="28"/>
          <w:highlight w:val="none"/>
        </w:rPr>
        <w:t>)</w:t>
      </w:r>
    </w:p>
    <w:p w14:paraId="0033E832">
      <w:pPr>
        <w:adjustRightInd w:val="0"/>
        <w:snapToGrid w:val="0"/>
        <w:spacing w:line="360" w:lineRule="auto"/>
        <w:ind w:firstLine="560" w:firstLineChars="200"/>
        <w:jc w:val="left"/>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黄褐色，表层含植物根系，呈可塑状，质较纯，局部含少量碎石，切面稍有光泽，干强度中等，韧性中等，无摇振反应。主要分布在原始斜坡地貌表层，个别钻孔有揭露，最大厚度约3.3m（ZY210）。</w:t>
      </w:r>
    </w:p>
    <w:p w14:paraId="45CD1ABA">
      <w:pPr>
        <w:spacing w:line="360" w:lineRule="auto"/>
        <w:outlineLvl w:val="3"/>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2.3.4.2</w:t>
      </w:r>
      <w:r>
        <w:rPr>
          <w:rFonts w:hint="eastAsia" w:ascii="仿宋" w:hAnsi="仿宋" w:eastAsia="仿宋" w:cs="仿宋"/>
          <w:bCs/>
          <w:color w:val="auto"/>
          <w:sz w:val="28"/>
          <w:szCs w:val="28"/>
          <w:highlight w:val="none"/>
        </w:rPr>
        <w:t>侏罗系中统上沙溪庙组（</w:t>
      </w:r>
      <w:r>
        <w:rPr>
          <w:rFonts w:hint="eastAsia" w:ascii="仿宋" w:hAnsi="仿宋" w:eastAsia="仿宋" w:cs="仿宋"/>
          <w:bCs/>
          <w:iCs/>
          <w:color w:val="auto"/>
          <w:sz w:val="28"/>
          <w:szCs w:val="28"/>
          <w:highlight w:val="none"/>
        </w:rPr>
        <w:t>J</w:t>
      </w:r>
      <w:r>
        <w:rPr>
          <w:rFonts w:hint="eastAsia" w:ascii="仿宋" w:hAnsi="仿宋" w:eastAsia="仿宋" w:cs="仿宋"/>
          <w:bCs/>
          <w:iCs/>
          <w:color w:val="auto"/>
          <w:sz w:val="28"/>
          <w:szCs w:val="28"/>
          <w:highlight w:val="none"/>
          <w:vertAlign w:val="subscript"/>
        </w:rPr>
        <w:t>2</w:t>
      </w:r>
      <w:r>
        <w:rPr>
          <w:rFonts w:hint="eastAsia" w:ascii="仿宋" w:hAnsi="仿宋" w:eastAsia="仿宋" w:cs="仿宋"/>
          <w:bCs/>
          <w:iCs/>
          <w:color w:val="auto"/>
          <w:sz w:val="28"/>
          <w:szCs w:val="28"/>
          <w:highlight w:val="none"/>
        </w:rPr>
        <w:t>s</w:t>
      </w:r>
      <w:r>
        <w:rPr>
          <w:rFonts w:hint="eastAsia" w:ascii="仿宋" w:hAnsi="仿宋" w:eastAsia="仿宋" w:cs="仿宋"/>
          <w:bCs/>
          <w:color w:val="auto"/>
          <w:sz w:val="28"/>
          <w:szCs w:val="28"/>
          <w:highlight w:val="none"/>
        </w:rPr>
        <w:t>）</w:t>
      </w:r>
    </w:p>
    <w:p w14:paraId="1B965D1E">
      <w:pPr>
        <w:pStyle w:val="21"/>
        <w:adjustRightInd w:val="0"/>
        <w:snapToGrid w:val="0"/>
        <w:spacing w:after="0" w:afterLines="0"/>
        <w:ind w:left="0" w:leftChars="0" w:firstLine="560" w:firstLineChars="200"/>
        <w:rPr>
          <w:rFonts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砂质泥岩：红褐色，矿物成分主要为粘土矿物，局部含砂较重，泥质结构，中厚层构造。强风化层岩芯破碎，呈碎块状，岩质软；中风化层岩芯较完整，断口颜色新鲜，岩芯呈柱状、短柱状，岩心节长3～22cm。为场地内主要岩性。</w:t>
      </w:r>
    </w:p>
    <w:p w14:paraId="6C66DF36">
      <w:pPr>
        <w:pStyle w:val="21"/>
        <w:adjustRightInd w:val="0"/>
        <w:snapToGrid w:val="0"/>
        <w:spacing w:after="0" w:afterLines="0"/>
        <w:ind w:left="0" w:leftChars="0"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砂岩：黄色～灰色，主要矿物成分为长石、石英、少量云母，中～粗粒结构，钙泥质胶结，中～厚层状构造，裂隙较发育，无泥质填充。强风化层岩芯较破碎，呈碎块状；中风化层岩芯较完整呈短柱状、柱状，岩心节长4～26cm。</w:t>
      </w:r>
      <w:r>
        <w:rPr>
          <w:rFonts w:hint="eastAsia" w:ascii="仿宋" w:hAnsi="仿宋" w:eastAsia="仿宋" w:cs="仿宋"/>
          <w:bCs/>
          <w:color w:val="auto"/>
          <w:sz w:val="28"/>
          <w:szCs w:val="28"/>
          <w:highlight w:val="none"/>
        </w:rPr>
        <w:t>位场地内</w:t>
      </w:r>
      <w:r>
        <w:rPr>
          <w:rFonts w:hint="eastAsia" w:ascii="仿宋" w:hAnsi="仿宋" w:eastAsia="仿宋" w:cs="仿宋"/>
          <w:bCs/>
          <w:color w:val="auto"/>
          <w:sz w:val="28"/>
          <w:szCs w:val="28"/>
          <w:highlight w:val="none"/>
          <w:lang w:eastAsia="zh-CN"/>
        </w:rPr>
        <w:t>主要</w:t>
      </w:r>
      <w:r>
        <w:rPr>
          <w:rFonts w:hint="eastAsia" w:ascii="仿宋" w:hAnsi="仿宋" w:eastAsia="仿宋" w:cs="仿宋"/>
          <w:bCs/>
          <w:color w:val="auto"/>
          <w:sz w:val="28"/>
          <w:szCs w:val="28"/>
          <w:highlight w:val="none"/>
        </w:rPr>
        <w:t>岩性。</w:t>
      </w:r>
    </w:p>
    <w:p w14:paraId="709B5605">
      <w:pPr>
        <w:pStyle w:val="4"/>
        <w:spacing w:before="0" w:after="0" w:line="360" w:lineRule="auto"/>
        <w:rPr>
          <w:rFonts w:ascii="仿宋" w:hAnsi="仿宋" w:eastAsia="仿宋" w:cs="仿宋"/>
          <w:color w:val="auto"/>
          <w:sz w:val="28"/>
          <w:szCs w:val="28"/>
          <w:highlight w:val="none"/>
        </w:rPr>
      </w:pPr>
      <w:bookmarkStart w:id="22" w:name="_Toc25856"/>
      <w:bookmarkStart w:id="23" w:name="_Toc17130"/>
      <w:r>
        <w:rPr>
          <w:rFonts w:hint="eastAsia" w:ascii="仿宋" w:hAnsi="仿宋" w:eastAsia="仿宋" w:cs="仿宋"/>
          <w:color w:val="auto"/>
          <w:sz w:val="28"/>
          <w:szCs w:val="28"/>
          <w:highlight w:val="none"/>
          <w:lang w:val="en-US" w:eastAsia="zh-CN"/>
        </w:rPr>
        <w:t>2.3.5</w:t>
      </w:r>
      <w:r>
        <w:rPr>
          <w:rFonts w:hint="eastAsia" w:ascii="仿宋" w:hAnsi="仿宋" w:eastAsia="仿宋" w:cs="仿宋"/>
          <w:color w:val="auto"/>
          <w:sz w:val="28"/>
          <w:szCs w:val="28"/>
          <w:highlight w:val="none"/>
        </w:rPr>
        <w:t>基岩面及基岩风化特征</w:t>
      </w:r>
      <w:bookmarkEnd w:id="22"/>
      <w:bookmarkEnd w:id="23"/>
    </w:p>
    <w:p w14:paraId="3C3FDDFD">
      <w:pPr>
        <w:pStyle w:val="21"/>
        <w:adjustRightInd w:val="0"/>
        <w:snapToGrid w:val="0"/>
        <w:spacing w:after="0" w:afterLines="0"/>
        <w:ind w:left="0" w:leftChars="0" w:firstLine="560" w:firstLineChars="200"/>
        <w:rPr>
          <w:rFonts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场地被第四系土层覆盖，覆盖层最大约为22.8m，通过钻探揭露及地质调查，基岩面整体较陡，纵横剖面上基岩面一般均呈波状起伏，相邻钻孔间基岩面坡度一般为1～30°，局部大于40°。</w:t>
      </w:r>
    </w:p>
    <w:p w14:paraId="7CC7FA3D">
      <w:pPr>
        <w:pStyle w:val="21"/>
        <w:adjustRightInd w:val="0"/>
        <w:snapToGrid w:val="0"/>
        <w:spacing w:after="0" w:afterLines="0"/>
        <w:ind w:left="0" w:leftChars="0" w:firstLine="560" w:firstLineChars="200"/>
        <w:rPr>
          <w:rFonts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根据</w:t>
      </w:r>
      <w:r>
        <w:rPr>
          <w:rFonts w:hint="eastAsia" w:ascii="仿宋" w:hAnsi="仿宋" w:eastAsia="仿宋" w:cs="仿宋"/>
          <w:bCs/>
          <w:color w:val="auto"/>
          <w:spacing w:val="6"/>
          <w:sz w:val="28"/>
          <w:szCs w:val="28"/>
          <w:highlight w:val="none"/>
          <w:lang w:eastAsia="zh-CN"/>
        </w:rPr>
        <w:t>《工程勘察标准》（DBJ50/T-043-2024）</w:t>
      </w:r>
      <w:r>
        <w:rPr>
          <w:rFonts w:hint="eastAsia" w:ascii="仿宋" w:hAnsi="仿宋" w:eastAsia="仿宋" w:cs="仿宋"/>
          <w:bCs/>
          <w:color w:val="auto"/>
          <w:sz w:val="28"/>
          <w:szCs w:val="28"/>
          <w:highlight w:val="none"/>
          <w:lang w:eastAsia="zh-CN"/>
        </w:rPr>
        <w:t>表4.1.2的规定，结合场内岩石野外风化的特征，将场地内基岩划分为强风化、中等风化两种类型。</w:t>
      </w:r>
    </w:p>
    <w:p w14:paraId="5D3AC81D">
      <w:pPr>
        <w:pStyle w:val="21"/>
        <w:adjustRightInd w:val="0"/>
        <w:snapToGrid w:val="0"/>
        <w:spacing w:after="0" w:afterLines="0"/>
        <w:ind w:left="0" w:leftChars="0" w:firstLine="560" w:firstLineChars="200"/>
        <w:rPr>
          <w:rFonts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①强风化带：裂隙发育，岩石结构已大部分破坏，颜色及矿物成分明显变化，岩石被裂隙分割成碎块状，裂面多充填粘土，沿层面常见浅灰色泥质薄膜，钻孔强风化带岩芯多呈碎块状、质软、手可折断，场区内局部地段揭露到此带，未完全揭穿。</w:t>
      </w:r>
    </w:p>
    <w:p w14:paraId="509DFB11">
      <w:pPr>
        <w:pStyle w:val="21"/>
        <w:adjustRightInd w:val="0"/>
        <w:snapToGrid w:val="0"/>
        <w:spacing w:after="0" w:afterLines="0"/>
        <w:ind w:left="0" w:leftChars="0" w:firstLine="560" w:firstLineChars="200"/>
        <w:rPr>
          <w:rFonts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②中等风化带：岩石结构部分破坏，岩体较完整。钻孔岩芯多呈短柱状，少量长柱状。</w:t>
      </w:r>
    </w:p>
    <w:p w14:paraId="5CBF141B">
      <w:pPr>
        <w:pStyle w:val="21"/>
        <w:adjustRightInd w:val="0"/>
        <w:snapToGrid w:val="0"/>
        <w:spacing w:after="0" w:afterLines="0"/>
        <w:ind w:left="0" w:leftChars="0" w:firstLine="560" w:firstLineChars="200"/>
        <w:rPr>
          <w:rFonts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场地内各地层风化带具体情况详见工程地质剖面图和钻孔柱状图。</w:t>
      </w:r>
    </w:p>
    <w:p w14:paraId="6D3156A3">
      <w:pPr>
        <w:pStyle w:val="4"/>
        <w:spacing w:before="0" w:after="0" w:line="360" w:lineRule="auto"/>
        <w:rPr>
          <w:rFonts w:ascii="仿宋" w:hAnsi="仿宋" w:eastAsia="仿宋" w:cs="仿宋"/>
          <w:color w:val="auto"/>
          <w:sz w:val="28"/>
          <w:szCs w:val="28"/>
          <w:highlight w:val="none"/>
        </w:rPr>
      </w:pPr>
      <w:bookmarkStart w:id="24" w:name="_Toc11801"/>
      <w:bookmarkStart w:id="25" w:name="_Toc3579"/>
      <w:r>
        <w:rPr>
          <w:rFonts w:hint="eastAsia" w:ascii="仿宋" w:hAnsi="仿宋" w:eastAsia="仿宋" w:cs="仿宋"/>
          <w:color w:val="auto"/>
          <w:sz w:val="28"/>
          <w:szCs w:val="28"/>
          <w:highlight w:val="none"/>
          <w:lang w:val="en-US" w:eastAsia="zh-CN"/>
        </w:rPr>
        <w:t>2.3.6</w:t>
      </w:r>
      <w:r>
        <w:rPr>
          <w:rFonts w:hint="eastAsia" w:ascii="仿宋" w:hAnsi="仿宋" w:eastAsia="仿宋" w:cs="仿宋"/>
          <w:color w:val="auto"/>
          <w:sz w:val="28"/>
          <w:szCs w:val="28"/>
          <w:highlight w:val="none"/>
        </w:rPr>
        <w:t>水文地质条件</w:t>
      </w:r>
      <w:bookmarkEnd w:id="24"/>
      <w:bookmarkEnd w:id="25"/>
    </w:p>
    <w:p w14:paraId="7E0573E6">
      <w:pPr>
        <w:spacing w:line="360" w:lineRule="auto"/>
        <w:outlineLvl w:val="3"/>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2.3.6.1</w:t>
      </w:r>
      <w:r>
        <w:rPr>
          <w:rFonts w:hint="eastAsia" w:ascii="仿宋" w:hAnsi="仿宋" w:eastAsia="仿宋" w:cs="仿宋"/>
          <w:bCs/>
          <w:color w:val="auto"/>
          <w:sz w:val="28"/>
          <w:szCs w:val="28"/>
          <w:highlight w:val="none"/>
        </w:rPr>
        <w:t>地表水</w:t>
      </w:r>
    </w:p>
    <w:p w14:paraId="4C1B48E0">
      <w:pPr>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勘察期间场地内未见地表水体，地表及地下水主要受大气降雨补给，由于下伏基岩主要为隔水层，地表排水条件较好，下伏基岩地下含水情况较差，暂时性积水主要位于第四系填土层中。</w:t>
      </w:r>
    </w:p>
    <w:p w14:paraId="2A90DD63">
      <w:pPr>
        <w:spacing w:line="360" w:lineRule="auto"/>
        <w:outlineLvl w:val="3"/>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2.3.6.2</w:t>
      </w:r>
      <w:r>
        <w:rPr>
          <w:rFonts w:hint="eastAsia" w:ascii="仿宋" w:hAnsi="仿宋" w:eastAsia="仿宋" w:cs="仿宋"/>
          <w:bCs/>
          <w:color w:val="auto"/>
          <w:sz w:val="28"/>
          <w:szCs w:val="28"/>
          <w:highlight w:val="none"/>
        </w:rPr>
        <w:t>地下水</w:t>
      </w:r>
    </w:p>
    <w:p w14:paraId="14FBDF57">
      <w:pPr>
        <w:spacing w:line="360" w:lineRule="auto"/>
        <w:ind w:firstLine="57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据区域水文地质资料及勘察成果，按地下水的赋存条件、水动力特征，结合含水介质的组合状况，将地下水类型主要划分为松散堆积层孔隙水、基岩裂隙水两种类型。</w:t>
      </w:r>
    </w:p>
    <w:p w14:paraId="7A1BE23B">
      <w:pPr>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松散堆积层孔隙水:拟建场地上覆第四系土层可分为素填土、粉质黏土，素填土孔隙发育，为强透水层，渗透性较好，富水性较强；粉质黏土结构致密，属相对隔水层；根据土层结构特点，拟建场地第四系孔隙水主要接受大气降雨以及地表水补给，沿土体孔隙，向地层深部渗流，局部于陡坡处沿孔隙或土岩界面渗出补给地表水。</w:t>
      </w:r>
    </w:p>
    <w:p w14:paraId="7079757F">
      <w:pPr>
        <w:spacing w:line="360" w:lineRule="auto"/>
        <w:ind w:firstLine="560" w:firstLineChars="200"/>
        <w:rPr>
          <w:rFonts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2）基岩裂隙水：赋存于基岩裂隙中，接受大气降雨</w:t>
      </w:r>
      <w:r>
        <w:rPr>
          <w:rFonts w:hint="eastAsia" w:ascii="仿宋" w:hAnsi="仿宋" w:eastAsia="仿宋" w:cs="仿宋"/>
          <w:bCs/>
          <w:color w:val="auto"/>
          <w:sz w:val="28"/>
          <w:szCs w:val="28"/>
          <w:highlight w:val="none"/>
        </w:rPr>
        <w:t>及上覆松散层地下水入渗</w:t>
      </w:r>
      <w:r>
        <w:rPr>
          <w:rFonts w:hint="eastAsia" w:ascii="仿宋" w:hAnsi="仿宋" w:eastAsia="仿宋" w:cs="仿宋"/>
          <w:bCs/>
          <w:color w:val="auto"/>
          <w:sz w:val="28"/>
          <w:szCs w:val="28"/>
          <w:highlight w:val="none"/>
          <w:lang w:val="zh-CN"/>
        </w:rPr>
        <w:t>补给，沿基岩裂隙</w:t>
      </w:r>
      <w:r>
        <w:rPr>
          <w:rFonts w:hint="eastAsia" w:ascii="仿宋" w:hAnsi="仿宋" w:eastAsia="仿宋" w:cs="仿宋"/>
          <w:bCs/>
          <w:color w:val="auto"/>
          <w:sz w:val="28"/>
          <w:szCs w:val="28"/>
          <w:highlight w:val="none"/>
        </w:rPr>
        <w:t>及孔隙</w:t>
      </w:r>
      <w:r>
        <w:rPr>
          <w:rFonts w:hint="eastAsia" w:ascii="仿宋" w:hAnsi="仿宋" w:eastAsia="仿宋" w:cs="仿宋"/>
          <w:bCs/>
          <w:color w:val="auto"/>
          <w:sz w:val="28"/>
          <w:szCs w:val="28"/>
          <w:highlight w:val="none"/>
          <w:lang w:val="zh-CN"/>
        </w:rPr>
        <w:t>径流，向低处排泄。强风化基岩风化网状裂隙发育，呈微张～张开状，为弱透水。</w:t>
      </w:r>
      <w:r>
        <w:rPr>
          <w:rFonts w:hint="eastAsia" w:ascii="仿宋" w:hAnsi="仿宋" w:eastAsia="仿宋" w:cs="仿宋"/>
          <w:bCs/>
          <w:color w:val="auto"/>
          <w:sz w:val="28"/>
          <w:szCs w:val="28"/>
          <w:highlight w:val="none"/>
        </w:rPr>
        <w:t>中等风化砂质泥岩裂隙多呈闭合状，少数微张，为相对隔水层</w:t>
      </w:r>
      <w:r>
        <w:rPr>
          <w:rFonts w:hint="eastAsia" w:ascii="仿宋" w:hAnsi="仿宋" w:eastAsia="仿宋" w:cs="仿宋"/>
          <w:bCs/>
          <w:color w:val="auto"/>
          <w:sz w:val="28"/>
          <w:szCs w:val="28"/>
          <w:highlight w:val="none"/>
          <w:lang w:val="zh-CN"/>
        </w:rPr>
        <w:t>。场地内基岩裂隙水为自流水。</w:t>
      </w:r>
    </w:p>
    <w:p w14:paraId="615300C6">
      <w:pPr>
        <w:spacing w:line="360" w:lineRule="auto"/>
        <w:ind w:firstLine="560" w:firstLineChars="200"/>
        <w:rPr>
          <w:rFonts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3）地下水位及变幅</w:t>
      </w:r>
    </w:p>
    <w:p w14:paraId="240DA2F8">
      <w:pPr>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zh-CN"/>
        </w:rPr>
        <w:t>勘察期间在钻孔施工结束后提干钻孔循环水，24h后进行水位观测，</w:t>
      </w:r>
      <w:r>
        <w:rPr>
          <w:rFonts w:hint="eastAsia" w:ascii="仿宋" w:hAnsi="仿宋" w:eastAsia="仿宋" w:cs="仿宋"/>
          <w:bCs/>
          <w:color w:val="auto"/>
          <w:sz w:val="28"/>
          <w:szCs w:val="28"/>
          <w:highlight w:val="none"/>
        </w:rPr>
        <w:t>未见稳定的地下水位</w:t>
      </w:r>
      <w:r>
        <w:rPr>
          <w:rFonts w:hint="eastAsia" w:ascii="仿宋" w:hAnsi="仿宋" w:eastAsia="仿宋" w:cs="仿宋"/>
          <w:bCs/>
          <w:color w:val="auto"/>
          <w:sz w:val="28"/>
          <w:szCs w:val="28"/>
          <w:highlight w:val="none"/>
          <w:lang w:val="zh-CN"/>
        </w:rPr>
        <w:t>。雨季期间在填土较厚和原始低洼地段存在</w:t>
      </w:r>
      <w:r>
        <w:rPr>
          <w:rFonts w:hint="eastAsia" w:ascii="仿宋" w:hAnsi="仿宋" w:eastAsia="仿宋" w:cs="仿宋"/>
          <w:bCs/>
          <w:color w:val="auto"/>
          <w:sz w:val="28"/>
          <w:szCs w:val="28"/>
          <w:highlight w:val="none"/>
        </w:rPr>
        <w:t>1</w:t>
      </w:r>
      <w:r>
        <w:rPr>
          <w:rFonts w:hint="eastAsia" w:ascii="仿宋" w:hAnsi="仿宋" w:eastAsia="仿宋" w:cs="仿宋"/>
          <w:bCs/>
          <w:color w:val="auto"/>
          <w:sz w:val="28"/>
          <w:szCs w:val="28"/>
          <w:highlight w:val="none"/>
          <w:lang w:val="zh-CN"/>
        </w:rPr>
        <w:t>～</w:t>
      </w:r>
      <w:r>
        <w:rPr>
          <w:rFonts w:hint="eastAsia" w:ascii="仿宋" w:hAnsi="仿宋" w:eastAsia="仿宋" w:cs="仿宋"/>
          <w:bCs/>
          <w:color w:val="auto"/>
          <w:sz w:val="28"/>
          <w:szCs w:val="28"/>
          <w:highlight w:val="none"/>
        </w:rPr>
        <w:t>2m的水位变幅。</w:t>
      </w:r>
    </w:p>
    <w:p w14:paraId="39748C96">
      <w:pPr>
        <w:spacing w:line="360" w:lineRule="auto"/>
        <w:ind w:firstLine="560" w:firstLineChars="200"/>
        <w:rPr>
          <w:rFonts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rPr>
        <w:t>4)水文地质条件复杂程度：</w:t>
      </w:r>
      <w:r>
        <w:rPr>
          <w:rFonts w:hint="eastAsia" w:ascii="仿宋" w:hAnsi="仿宋" w:eastAsia="仿宋" w:cs="仿宋"/>
          <w:bCs/>
          <w:color w:val="auto"/>
          <w:sz w:val="28"/>
          <w:szCs w:val="28"/>
          <w:highlight w:val="none"/>
          <w:lang w:val="zh-CN"/>
        </w:rPr>
        <w:t>场区地形、地层结构整体不利于大量地下水的存储，</w:t>
      </w:r>
      <w:r>
        <w:rPr>
          <w:rFonts w:hint="eastAsia" w:ascii="仿宋" w:hAnsi="仿宋" w:eastAsia="仿宋" w:cs="仿宋"/>
          <w:bCs/>
          <w:color w:val="auto"/>
          <w:sz w:val="28"/>
          <w:szCs w:val="28"/>
          <w:highlight w:val="none"/>
        </w:rPr>
        <w:t>地下水补给条件一般</w:t>
      </w:r>
      <w:r>
        <w:rPr>
          <w:rFonts w:hint="eastAsia" w:ascii="仿宋" w:hAnsi="仿宋" w:eastAsia="仿宋" w:cs="仿宋"/>
          <w:bCs/>
          <w:color w:val="auto"/>
          <w:sz w:val="28"/>
          <w:szCs w:val="28"/>
          <w:highlight w:val="none"/>
          <w:lang w:val="zh-CN"/>
        </w:rPr>
        <w:t>，</w:t>
      </w:r>
      <w:r>
        <w:rPr>
          <w:rFonts w:hint="eastAsia" w:ascii="仿宋" w:hAnsi="仿宋" w:eastAsia="仿宋" w:cs="仿宋"/>
          <w:bCs/>
          <w:color w:val="auto"/>
          <w:sz w:val="28"/>
          <w:szCs w:val="28"/>
          <w:highlight w:val="none"/>
        </w:rPr>
        <w:t>故</w:t>
      </w:r>
      <w:r>
        <w:rPr>
          <w:rFonts w:hint="eastAsia" w:ascii="仿宋" w:hAnsi="仿宋" w:eastAsia="仿宋" w:cs="仿宋"/>
          <w:bCs/>
          <w:color w:val="auto"/>
          <w:sz w:val="28"/>
          <w:szCs w:val="28"/>
          <w:highlight w:val="none"/>
          <w:lang w:val="zh-CN"/>
        </w:rPr>
        <w:t>场地水文地质条件简单。根据拟建场地的岩土特性及当地建筑经验：沿线覆盖层的均匀性差，素填土渗透系数k=11.0m/d，属于强透水层；粉质黏土渗透系数k=0.02m/d，属于弱透水；强风化基岩渗透系数k=1.0 m/d，属于中等透水层；中等风化砂质泥岩渗透系数k=0.05～0.1m/d，属于弱透水层；中等风化砂岩渗透系数k=0.1～0.15m/d，属于弱透水层。若遇到构造破碎带和裂隙密集带，则岩体渗透系数就可能增大很多。</w:t>
      </w:r>
    </w:p>
    <w:p w14:paraId="0AB4E291">
      <w:pPr>
        <w:spacing w:line="360" w:lineRule="auto"/>
        <w:ind w:firstLine="560" w:firstLineChars="200"/>
        <w:rPr>
          <w:rFonts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在雨季施工，地表水易沿土体孔隙及岩体裂隙渗透进入基槽内，形成短时性滞水，施工过程中，应加强排水防渗措施。</w:t>
      </w:r>
    </w:p>
    <w:p w14:paraId="7B1CA93E">
      <w:pPr>
        <w:pStyle w:val="4"/>
        <w:spacing w:before="0" w:after="0" w:line="360" w:lineRule="auto"/>
        <w:rPr>
          <w:rFonts w:ascii="仿宋" w:hAnsi="仿宋" w:eastAsia="仿宋" w:cs="仿宋"/>
          <w:color w:val="auto"/>
          <w:sz w:val="28"/>
          <w:szCs w:val="28"/>
          <w:highlight w:val="none"/>
        </w:rPr>
      </w:pPr>
      <w:bookmarkStart w:id="26" w:name="_Toc4368"/>
      <w:bookmarkStart w:id="27" w:name="_Toc19400"/>
      <w:r>
        <w:rPr>
          <w:rFonts w:hint="eastAsia" w:ascii="仿宋" w:hAnsi="仿宋" w:eastAsia="仿宋" w:cs="仿宋"/>
          <w:color w:val="auto"/>
          <w:sz w:val="28"/>
          <w:szCs w:val="28"/>
          <w:highlight w:val="none"/>
          <w:lang w:val="en-US" w:eastAsia="zh-CN"/>
        </w:rPr>
        <w:t>2.3.7</w:t>
      </w:r>
      <w:r>
        <w:rPr>
          <w:rFonts w:hint="eastAsia" w:ascii="仿宋" w:hAnsi="仿宋" w:eastAsia="仿宋" w:cs="仿宋"/>
          <w:color w:val="auto"/>
          <w:sz w:val="28"/>
          <w:szCs w:val="28"/>
          <w:highlight w:val="none"/>
        </w:rPr>
        <w:t>场地水、土腐蚀性评价</w:t>
      </w:r>
      <w:bookmarkEnd w:id="26"/>
      <w:bookmarkEnd w:id="27"/>
    </w:p>
    <w:p w14:paraId="6A4CA9C2">
      <w:pPr>
        <w:spacing w:line="360" w:lineRule="auto"/>
        <w:ind w:firstLine="560" w:firstLineChars="200"/>
        <w:rPr>
          <w:rFonts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经调查，场地周边无制造酸、碱等的污染源，无污染性厂矿企业，无污染水源流入场地，参考周边相关资料，并结合地区经验及钻探表明地基土无污染迹象，场地勘察范围及钻探深度内红层浅部无残留膏盐。按照《岩土工程勘察规范》GB50021-2001（2009年版）附录G判定拟建场地内环境类型为III类；依据《岩土工程勘察规范》（GB 50021 -2001）（2009年版）12.1、12.2条的评价标准和地区经验进行评判，素填土为强透水层，为A型；粉质黏土为弱透水层，为B型。综合地区经验及周围相关资料，环境土对混凝土结构和钢筋混凝土结构中钢筋具微腐蚀性，土对钢结构具微腐蚀性；场地地表水及地下水对混凝土结构和钢筋混凝土结构中钢筋具弱腐蚀性。应注意地表水、地下水及环境土层对建筑材料腐蚀的防护，防护措施应符合现行国家标准《工业建筑防腐蚀设计规范》（GB50046-2018）的规定。</w:t>
      </w:r>
    </w:p>
    <w:p w14:paraId="291ED733">
      <w:pPr>
        <w:pStyle w:val="4"/>
        <w:spacing w:before="0" w:after="0" w:line="360" w:lineRule="auto"/>
        <w:rPr>
          <w:rFonts w:ascii="仿宋" w:hAnsi="仿宋" w:eastAsia="仿宋" w:cs="仿宋"/>
          <w:color w:val="auto"/>
          <w:sz w:val="28"/>
          <w:szCs w:val="28"/>
          <w:highlight w:val="none"/>
        </w:rPr>
      </w:pPr>
      <w:bookmarkStart w:id="28" w:name="_Toc4338"/>
      <w:bookmarkStart w:id="29" w:name="_Toc27699"/>
      <w:r>
        <w:rPr>
          <w:rFonts w:hint="eastAsia" w:ascii="仿宋" w:hAnsi="仿宋" w:eastAsia="仿宋" w:cs="仿宋"/>
          <w:color w:val="auto"/>
          <w:sz w:val="28"/>
          <w:szCs w:val="28"/>
          <w:highlight w:val="none"/>
          <w:lang w:val="en-US" w:eastAsia="zh-CN"/>
        </w:rPr>
        <w:t>2.3.8</w:t>
      </w:r>
      <w:r>
        <w:rPr>
          <w:rFonts w:hint="eastAsia" w:ascii="仿宋" w:hAnsi="仿宋" w:eastAsia="仿宋" w:cs="仿宋"/>
          <w:color w:val="auto"/>
          <w:sz w:val="28"/>
          <w:szCs w:val="28"/>
          <w:highlight w:val="none"/>
        </w:rPr>
        <w:t>不良地质现象及不利埋藏物</w:t>
      </w:r>
      <w:bookmarkEnd w:id="28"/>
      <w:bookmarkEnd w:id="29"/>
    </w:p>
    <w:p w14:paraId="650FBEF7">
      <w:pPr>
        <w:overflowPunct w:val="0"/>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经调查测绘及钻探揭露，勘察区域内没有发现滑坡、崩塌、泥石流、地下采空区、地下洞室等不良地质现象，勘察范围内勘察期间未发现有毒、有害气体。建工学院东侧井号W-13～W-16段管道右侧为顺向坡，岩层倾角较小，边坡主要为砂岩组成，层面为硬性结构面，对边坡稳定性影响较小。</w:t>
      </w:r>
    </w:p>
    <w:p w14:paraId="57B11501">
      <w:pPr>
        <w:pStyle w:val="4"/>
        <w:spacing w:before="0" w:after="0" w:line="360" w:lineRule="auto"/>
        <w:rPr>
          <w:rFonts w:ascii="仿宋" w:hAnsi="仿宋" w:eastAsia="仿宋" w:cs="仿宋"/>
          <w:color w:val="auto"/>
          <w:sz w:val="28"/>
          <w:szCs w:val="28"/>
          <w:highlight w:val="none"/>
        </w:rPr>
      </w:pPr>
      <w:bookmarkStart w:id="30" w:name="_Toc29445"/>
      <w:bookmarkStart w:id="31" w:name="_Toc21079"/>
      <w:r>
        <w:rPr>
          <w:rFonts w:hint="eastAsia" w:ascii="仿宋" w:hAnsi="仿宋" w:eastAsia="仿宋" w:cs="仿宋"/>
          <w:color w:val="auto"/>
          <w:sz w:val="28"/>
          <w:szCs w:val="28"/>
          <w:highlight w:val="none"/>
          <w:lang w:val="en-US" w:eastAsia="zh-CN"/>
        </w:rPr>
        <w:t>2.3.9</w:t>
      </w:r>
      <w:r>
        <w:rPr>
          <w:rFonts w:hint="eastAsia" w:ascii="仿宋" w:hAnsi="仿宋" w:eastAsia="仿宋" w:cs="仿宋"/>
          <w:color w:val="auto"/>
          <w:sz w:val="28"/>
          <w:szCs w:val="28"/>
          <w:highlight w:val="none"/>
        </w:rPr>
        <w:t>岩土体物理力学特征</w:t>
      </w:r>
      <w:bookmarkEnd w:id="30"/>
      <w:bookmarkEnd w:id="31"/>
    </w:p>
    <w:p w14:paraId="341ACD03">
      <w:pPr>
        <w:spacing w:line="360" w:lineRule="auto"/>
        <w:ind w:firstLine="63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本次勘察岩土分层以现场岩性鉴别、结合室内试验成果作为划分依据。</w:t>
      </w:r>
    </w:p>
    <w:p w14:paraId="0F0E4D2C">
      <w:pPr>
        <w:spacing w:line="360" w:lineRule="auto"/>
        <w:ind w:firstLine="63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素填土：松散～中密，稍密为主，总体厚度变化较大，场地内大范围均有分布，根据现场岩芯鉴定进行分层；</w:t>
      </w:r>
    </w:p>
    <w:p w14:paraId="75CA2F4A">
      <w:pPr>
        <w:spacing w:line="360" w:lineRule="auto"/>
        <w:ind w:firstLine="629"/>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粉质黏土：可塑状，厚度变化较大，整体厚度较小，大部分地段分布；根据现场岩芯鉴定结合室内试验成果进行综合分层；</w:t>
      </w:r>
    </w:p>
    <w:p w14:paraId="69CACFFD">
      <w:pPr>
        <w:spacing w:line="360" w:lineRule="auto"/>
        <w:ind w:firstLine="629"/>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强风化基岩：岩体破碎，岩质极软，手可轻易捏碎，根据现场岩芯鉴定进行分层；</w:t>
      </w:r>
    </w:p>
    <w:p w14:paraId="065D9599">
      <w:pPr>
        <w:spacing w:line="360" w:lineRule="auto"/>
        <w:ind w:firstLine="629"/>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中等风化基岩：岩体较完整，根据现场岩芯鉴定结合室内试验成果进行综合分层。</w:t>
      </w:r>
    </w:p>
    <w:p w14:paraId="39BD29FD">
      <w:pPr>
        <w:pStyle w:val="4"/>
        <w:spacing w:before="0" w:after="0" w:line="360" w:lineRule="auto"/>
        <w:rPr>
          <w:rFonts w:ascii="仿宋" w:hAnsi="仿宋" w:eastAsia="仿宋" w:cs="仿宋"/>
          <w:color w:val="auto"/>
          <w:sz w:val="28"/>
          <w:szCs w:val="28"/>
          <w:highlight w:val="none"/>
        </w:rPr>
      </w:pPr>
      <w:bookmarkStart w:id="32" w:name="_Toc19351"/>
      <w:bookmarkStart w:id="33" w:name="_Toc21386"/>
      <w:r>
        <w:rPr>
          <w:rFonts w:hint="eastAsia" w:ascii="仿宋" w:hAnsi="仿宋" w:eastAsia="仿宋" w:cs="仿宋"/>
          <w:color w:val="auto"/>
          <w:sz w:val="28"/>
          <w:szCs w:val="28"/>
          <w:highlight w:val="none"/>
          <w:lang w:val="en-US" w:eastAsia="zh-CN"/>
        </w:rPr>
        <w:t>2.3.10</w:t>
      </w:r>
      <w:r>
        <w:rPr>
          <w:rFonts w:hint="eastAsia" w:ascii="仿宋" w:hAnsi="仿宋" w:eastAsia="仿宋" w:cs="仿宋"/>
          <w:color w:val="auto"/>
          <w:sz w:val="28"/>
          <w:szCs w:val="28"/>
          <w:highlight w:val="none"/>
        </w:rPr>
        <w:t>场地稳定性评价</w:t>
      </w:r>
      <w:bookmarkEnd w:id="32"/>
      <w:bookmarkEnd w:id="33"/>
    </w:p>
    <w:p w14:paraId="13A79144">
      <w:pPr>
        <w:pStyle w:val="5"/>
        <w:spacing w:line="360" w:lineRule="auto"/>
        <w:rPr>
          <w:rFonts w:ascii="仿宋" w:hAnsi="仿宋" w:eastAsia="仿宋" w:cs="仿宋"/>
          <w:color w:val="auto"/>
          <w:szCs w:val="28"/>
          <w:highlight w:val="none"/>
        </w:rPr>
      </w:pPr>
      <w:bookmarkStart w:id="34" w:name="_Toc458179025"/>
      <w:bookmarkStart w:id="35" w:name="_Toc458178966"/>
      <w:bookmarkStart w:id="36" w:name="_Toc22869"/>
      <w:bookmarkStart w:id="37" w:name="_Toc453750050"/>
      <w:bookmarkStart w:id="38" w:name="_Toc27015"/>
      <w:r>
        <w:rPr>
          <w:rFonts w:hint="eastAsia" w:ascii="仿宋" w:hAnsi="仿宋" w:eastAsia="仿宋" w:cs="仿宋"/>
          <w:color w:val="auto"/>
          <w:sz w:val="28"/>
          <w:szCs w:val="28"/>
          <w:highlight w:val="none"/>
          <w:lang w:val="en-US" w:eastAsia="zh-CN"/>
        </w:rPr>
        <w:t>2.3.10.1</w:t>
      </w:r>
      <w:r>
        <w:rPr>
          <w:rFonts w:hint="eastAsia" w:ascii="仿宋" w:hAnsi="仿宋" w:eastAsia="仿宋" w:cs="仿宋"/>
          <w:color w:val="auto"/>
          <w:szCs w:val="28"/>
          <w:highlight w:val="none"/>
        </w:rPr>
        <w:t>场地稳定性及适宜性评价</w:t>
      </w:r>
      <w:bookmarkEnd w:id="34"/>
      <w:bookmarkEnd w:id="35"/>
      <w:bookmarkEnd w:id="36"/>
      <w:bookmarkEnd w:id="37"/>
      <w:bookmarkEnd w:id="38"/>
    </w:p>
    <w:p w14:paraId="4A6DFDAD">
      <w:pPr>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据地面调查，拟建场地未见滑坡、泥石流、采空区及危岩等不良地质现象；现状除填土、粉质黏土及强风化基岩外无其它软弱土、湿陷土、红粘土及膨胀土等特殊性岩土；下卧层无土洞、沟浜、破碎带/软弱夹层、防空洞等不利埋藏物；岩质地基未见局部临空面、陡倾基岩面；现状岸坡未见开裂、变形迹象；地基总体稳定。</w:t>
      </w:r>
    </w:p>
    <w:p w14:paraId="0E6AA6BA">
      <w:pPr>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综上，场地及地基总体稳定，适宜本项目的修建。</w:t>
      </w:r>
    </w:p>
    <w:p w14:paraId="3CBBDB31">
      <w:pPr>
        <w:pStyle w:val="5"/>
        <w:spacing w:line="360" w:lineRule="auto"/>
        <w:rPr>
          <w:rFonts w:ascii="仿宋" w:hAnsi="仿宋" w:eastAsia="仿宋" w:cs="仿宋"/>
          <w:color w:val="auto"/>
          <w:szCs w:val="28"/>
          <w:highlight w:val="none"/>
        </w:rPr>
      </w:pPr>
      <w:bookmarkStart w:id="39" w:name="_Toc13351"/>
      <w:bookmarkStart w:id="40" w:name="_Toc67326868"/>
      <w:bookmarkStart w:id="41" w:name="_Toc152"/>
      <w:r>
        <w:rPr>
          <w:rFonts w:hint="eastAsia" w:ascii="仿宋" w:hAnsi="仿宋" w:eastAsia="仿宋" w:cs="仿宋"/>
          <w:color w:val="auto"/>
          <w:sz w:val="28"/>
          <w:szCs w:val="28"/>
          <w:highlight w:val="none"/>
          <w:lang w:val="en-US" w:eastAsia="zh-CN"/>
        </w:rPr>
        <w:t>2.3.10.2</w:t>
      </w:r>
      <w:r>
        <w:rPr>
          <w:rFonts w:hint="eastAsia" w:ascii="仿宋" w:hAnsi="仿宋" w:eastAsia="仿宋" w:cs="仿宋"/>
          <w:color w:val="auto"/>
          <w:szCs w:val="28"/>
          <w:highlight w:val="none"/>
        </w:rPr>
        <w:t>场地均匀性评价</w:t>
      </w:r>
      <w:bookmarkEnd w:id="39"/>
    </w:p>
    <w:p w14:paraId="1FC2B9A5">
      <w:pPr>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素填土成份主要由砂泥岩碎块石、黏性土及少量建筑垃圾等组成，结构松散～中密，稍密为主，厚度变化大，故而其均匀性差，属不均匀地基；粉质黏土厚薄分布不均，属不均匀地基；强风化基岩风化裂隙发育，厚度变化变化大，力学性能差，均匀性差；中等风化基岩层位稳定，厚度大，承载力高，均匀性较好。</w:t>
      </w:r>
    </w:p>
    <w:p w14:paraId="0499D1ED">
      <w:pPr>
        <w:pStyle w:val="5"/>
        <w:spacing w:line="360" w:lineRule="auto"/>
        <w:rPr>
          <w:rFonts w:ascii="仿宋" w:hAnsi="仿宋" w:eastAsia="仿宋" w:cs="仿宋"/>
          <w:color w:val="auto"/>
          <w:szCs w:val="28"/>
          <w:highlight w:val="none"/>
        </w:rPr>
      </w:pPr>
      <w:bookmarkStart w:id="42" w:name="_Toc27649"/>
      <w:r>
        <w:rPr>
          <w:rFonts w:hint="eastAsia" w:ascii="仿宋" w:hAnsi="仿宋" w:eastAsia="仿宋" w:cs="仿宋"/>
          <w:color w:val="auto"/>
          <w:sz w:val="28"/>
          <w:szCs w:val="28"/>
          <w:highlight w:val="none"/>
          <w:lang w:val="en-US" w:eastAsia="zh-CN"/>
        </w:rPr>
        <w:t>2.3.10.3</w:t>
      </w:r>
      <w:r>
        <w:rPr>
          <w:rFonts w:hint="eastAsia" w:ascii="仿宋" w:hAnsi="仿宋" w:eastAsia="仿宋" w:cs="仿宋"/>
          <w:color w:val="auto"/>
          <w:szCs w:val="28"/>
          <w:highlight w:val="none"/>
        </w:rPr>
        <w:t>天然地基可行性分析</w:t>
      </w:r>
      <w:bookmarkEnd w:id="42"/>
    </w:p>
    <w:p w14:paraId="09E5CC08">
      <w:pPr>
        <w:pStyle w:val="81"/>
        <w:spacing w:line="360" w:lineRule="auto"/>
        <w:ind w:firstLine="562"/>
        <w:rPr>
          <w:rFonts w:ascii="仿宋" w:hAnsi="仿宋" w:eastAsia="仿宋" w:cs="仿宋"/>
          <w:bCs/>
          <w:color w:val="auto"/>
          <w:szCs w:val="28"/>
          <w:highlight w:val="none"/>
        </w:rPr>
      </w:pPr>
      <w:r>
        <w:rPr>
          <w:rFonts w:hint="eastAsia" w:ascii="仿宋" w:hAnsi="仿宋" w:eastAsia="仿宋" w:cs="仿宋"/>
          <w:bCs/>
          <w:color w:val="auto"/>
          <w:szCs w:val="28"/>
          <w:highlight w:val="none"/>
        </w:rPr>
        <w:t>（1）根据地表地质调查、区域地质资料以及现场钻探情况，场地内填土为修建道路及人行道等回填形成，结构松散～中密，以稍密为主，分布不均，局部厚度大，均匀性较差，力学性能差，承载力较低，未经处理严禁选作天然地基持力层,填土厚度均匀的地段，经过有效地基处理到规范及设计要求后，可作为管道及检查井的天然地基持力层。</w:t>
      </w:r>
    </w:p>
    <w:p w14:paraId="0114E7F3">
      <w:pPr>
        <w:pStyle w:val="81"/>
        <w:spacing w:line="360" w:lineRule="auto"/>
        <w:ind w:firstLine="562"/>
        <w:rPr>
          <w:rFonts w:ascii="仿宋" w:hAnsi="仿宋" w:eastAsia="仿宋" w:cs="仿宋"/>
          <w:bCs/>
          <w:color w:val="auto"/>
          <w:szCs w:val="28"/>
          <w:highlight w:val="none"/>
        </w:rPr>
      </w:pPr>
      <w:r>
        <w:rPr>
          <w:rFonts w:hint="eastAsia" w:ascii="仿宋" w:hAnsi="仿宋" w:eastAsia="仿宋" w:cs="仿宋"/>
          <w:bCs/>
          <w:color w:val="auto"/>
          <w:szCs w:val="28"/>
          <w:highlight w:val="none"/>
        </w:rPr>
        <w:t>（2）本场地粉质黏土分布范围较小，厚薄不均，呈可塑状，浸水极易软化，承载力较低。按设计标高开挖后不存在粉质黏土做基础持力层的情况。</w:t>
      </w:r>
    </w:p>
    <w:p w14:paraId="3FD08B77">
      <w:pPr>
        <w:pStyle w:val="81"/>
        <w:spacing w:line="360" w:lineRule="auto"/>
        <w:ind w:firstLine="562"/>
        <w:rPr>
          <w:rFonts w:ascii="仿宋" w:hAnsi="仿宋" w:eastAsia="仿宋" w:cs="仿宋"/>
          <w:bCs/>
          <w:color w:val="auto"/>
          <w:szCs w:val="28"/>
          <w:highlight w:val="none"/>
        </w:rPr>
      </w:pPr>
      <w:r>
        <w:rPr>
          <w:rFonts w:hint="eastAsia" w:ascii="仿宋" w:hAnsi="仿宋" w:eastAsia="仿宋" w:cs="仿宋"/>
          <w:bCs/>
          <w:color w:val="auto"/>
          <w:szCs w:val="28"/>
          <w:highlight w:val="none"/>
        </w:rPr>
        <w:t>（3）强风化基岩分布不均，厚度变化大，可作为管道等对荷载要求较低，对沉降不敏感的拟建物的持力层；中等风化砂质泥岩、砂岩层位稳定、厚度大、承载力高，均匀性较好，是本建筑场地内理想的天然地基持力层。</w:t>
      </w:r>
      <w:bookmarkEnd w:id="40"/>
      <w:bookmarkEnd w:id="41"/>
    </w:p>
    <w:p w14:paraId="6C7CA221">
      <w:pPr>
        <w:pStyle w:val="5"/>
        <w:spacing w:line="360" w:lineRule="auto"/>
        <w:rPr>
          <w:rFonts w:ascii="仿宋" w:hAnsi="仿宋" w:eastAsia="仿宋" w:cs="仿宋"/>
          <w:color w:val="auto"/>
          <w:szCs w:val="28"/>
          <w:highlight w:val="none"/>
        </w:rPr>
      </w:pPr>
      <w:bookmarkStart w:id="43" w:name="_Toc19139"/>
      <w:r>
        <w:rPr>
          <w:rFonts w:hint="eastAsia" w:ascii="仿宋" w:hAnsi="仿宋" w:eastAsia="仿宋" w:cs="仿宋"/>
          <w:color w:val="auto"/>
          <w:sz w:val="28"/>
          <w:szCs w:val="28"/>
          <w:highlight w:val="none"/>
          <w:lang w:val="en-US" w:eastAsia="zh-CN"/>
        </w:rPr>
        <w:t>2.3.10.3</w:t>
      </w:r>
      <w:r>
        <w:rPr>
          <w:rFonts w:hint="eastAsia" w:ascii="仿宋" w:hAnsi="仿宋" w:eastAsia="仿宋" w:cs="仿宋"/>
          <w:color w:val="auto"/>
          <w:szCs w:val="28"/>
          <w:highlight w:val="none"/>
        </w:rPr>
        <w:t>施工对自然环境的影响评价</w:t>
      </w:r>
      <w:bookmarkEnd w:id="43"/>
    </w:p>
    <w:p w14:paraId="3BFFEB27">
      <w:pPr>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施工时应严格按照国家及重庆市有关环保及卫生方面的规定，禁止废碴、废水等随意排放，控制施工噪音等，通过合理的施工组织安排，尽量减少对周围环境的干扰，并应注意交通安全。</w:t>
      </w:r>
    </w:p>
    <w:p w14:paraId="6274FFA0">
      <w:pPr>
        <w:pStyle w:val="4"/>
        <w:spacing w:before="0" w:after="0" w:line="360" w:lineRule="auto"/>
        <w:rPr>
          <w:rFonts w:ascii="仿宋" w:hAnsi="仿宋" w:eastAsia="仿宋" w:cs="仿宋"/>
          <w:color w:val="auto"/>
          <w:sz w:val="28"/>
          <w:szCs w:val="28"/>
          <w:highlight w:val="none"/>
        </w:rPr>
      </w:pPr>
      <w:bookmarkStart w:id="44" w:name="_Toc4005"/>
      <w:bookmarkStart w:id="45" w:name="_Toc2923"/>
      <w:r>
        <w:rPr>
          <w:rFonts w:hint="eastAsia" w:ascii="仿宋" w:hAnsi="仿宋" w:eastAsia="仿宋" w:cs="仿宋"/>
          <w:color w:val="auto"/>
          <w:sz w:val="28"/>
          <w:szCs w:val="28"/>
          <w:highlight w:val="none"/>
          <w:lang w:val="en-US" w:eastAsia="zh-CN"/>
        </w:rPr>
        <w:t>2.3.11</w:t>
      </w:r>
      <w:r>
        <w:rPr>
          <w:rFonts w:hint="eastAsia" w:ascii="仿宋" w:hAnsi="仿宋" w:eastAsia="仿宋" w:cs="仿宋"/>
          <w:color w:val="auto"/>
          <w:sz w:val="28"/>
          <w:szCs w:val="28"/>
          <w:highlight w:val="none"/>
        </w:rPr>
        <w:t>地基评价</w:t>
      </w:r>
      <w:bookmarkEnd w:id="44"/>
      <w:bookmarkEnd w:id="45"/>
    </w:p>
    <w:p w14:paraId="389B067C">
      <w:pPr>
        <w:pStyle w:val="5"/>
        <w:spacing w:line="360" w:lineRule="auto"/>
        <w:rPr>
          <w:rFonts w:ascii="仿宋" w:hAnsi="仿宋" w:eastAsia="仿宋" w:cs="仿宋"/>
          <w:color w:val="auto"/>
          <w:szCs w:val="28"/>
          <w:highlight w:val="none"/>
        </w:rPr>
      </w:pPr>
      <w:bookmarkStart w:id="46" w:name="_Toc20520"/>
      <w:bookmarkStart w:id="47" w:name="_Toc6786"/>
      <w:bookmarkStart w:id="48" w:name="_Toc460063406"/>
      <w:bookmarkStart w:id="49" w:name="_Toc8463"/>
      <w:r>
        <w:rPr>
          <w:rFonts w:hint="eastAsia" w:ascii="仿宋" w:hAnsi="仿宋" w:eastAsia="仿宋" w:cs="仿宋"/>
          <w:color w:val="auto"/>
          <w:sz w:val="28"/>
          <w:szCs w:val="28"/>
          <w:highlight w:val="none"/>
          <w:lang w:val="en-US" w:eastAsia="zh-CN"/>
        </w:rPr>
        <w:t>2.3.11.1</w:t>
      </w:r>
      <w:r>
        <w:rPr>
          <w:rFonts w:hint="eastAsia" w:ascii="仿宋" w:hAnsi="仿宋" w:eastAsia="仿宋" w:cs="仿宋"/>
          <w:color w:val="auto"/>
          <w:szCs w:val="28"/>
          <w:highlight w:val="none"/>
        </w:rPr>
        <w:t>地下水与地表水作</w:t>
      </w:r>
      <w:bookmarkEnd w:id="46"/>
      <w:bookmarkEnd w:id="47"/>
      <w:bookmarkEnd w:id="48"/>
      <w:r>
        <w:rPr>
          <w:rFonts w:hint="eastAsia" w:ascii="仿宋" w:hAnsi="仿宋" w:eastAsia="仿宋" w:cs="仿宋"/>
          <w:color w:val="auto"/>
          <w:szCs w:val="28"/>
          <w:highlight w:val="none"/>
        </w:rPr>
        <w:t>用评价</w:t>
      </w:r>
      <w:bookmarkEnd w:id="49"/>
    </w:p>
    <w:p w14:paraId="54362B93">
      <w:pPr>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场地整平后，局部地形平缓，大气降雨会形成地表积水，下渗后填土层中易形成上层滞水，基础开挖过程中应及时支护，并采取相应的排、抽水措施。拟建场地地形利于地表水和地下水的排泄。场地内箱涵流水将有效引流。综上，地表水对拟建建筑影响较小。</w:t>
      </w:r>
    </w:p>
    <w:p w14:paraId="30A86FC5">
      <w:pPr>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场地内地下水主要接受大气降水补给，随季节影响变化大，尤其是暴雨易顺坡流进场地。拟建场地整体为斜坡状，利于地表水及地下水的及时排泄。局部存在低洼地段，地表水（降雨）易聚集，对场地影响较大，应采取相应的拦、排及抽水措施，勿使大气降水及施工用水滞留于场地内。</w:t>
      </w:r>
    </w:p>
    <w:p w14:paraId="0EA142D7">
      <w:pPr>
        <w:autoSpaceDE w:val="0"/>
        <w:autoSpaceDN w:val="0"/>
        <w:adjustRightInd w:val="0"/>
        <w:spacing w:line="360" w:lineRule="auto"/>
        <w:ind w:firstLine="584"/>
        <w:rPr>
          <w:rFonts w:ascii="仿宋" w:hAnsi="仿宋" w:eastAsia="仿宋" w:cs="仿宋"/>
          <w:bCs/>
          <w:color w:val="auto"/>
          <w:sz w:val="28"/>
          <w:szCs w:val="28"/>
          <w:highlight w:val="none"/>
          <w:lang w:val="zh-CN"/>
        </w:rPr>
      </w:pPr>
      <w:bookmarkStart w:id="50" w:name="_Hlk136767429"/>
      <w:r>
        <w:rPr>
          <w:rFonts w:hint="eastAsia" w:ascii="仿宋" w:hAnsi="仿宋" w:eastAsia="仿宋" w:cs="仿宋"/>
          <w:bCs/>
          <w:color w:val="auto"/>
          <w:sz w:val="28"/>
          <w:szCs w:val="28"/>
          <w:highlight w:val="none"/>
        </w:rPr>
        <w:t>大气降雨，沿土体、裂缝等渗入，进一步增加了土体的重量，产生了静水、动水压力等，使岩土界面、层面及裂隙面的抗剪强度较低，易对边坡稳定性产生不利影响。</w:t>
      </w:r>
      <w:bookmarkEnd w:id="50"/>
      <w:r>
        <w:rPr>
          <w:rFonts w:hint="eastAsia" w:ascii="仿宋" w:hAnsi="仿宋" w:eastAsia="仿宋" w:cs="仿宋"/>
          <w:bCs/>
          <w:color w:val="auto"/>
          <w:sz w:val="28"/>
          <w:szCs w:val="28"/>
          <w:highlight w:val="none"/>
        </w:rPr>
        <w:t>大气降雨对施工存在一定影响，主要表现为汇入基坑影响基坑开挖，软化基底岩石，影响地基承载力等，若在雨季施工，水量将明显增大。建议基坑开挖时应配备相应的抽水设备，并作好场地周边及内部的截、排水措施，施工时应作好抽、排水工作。</w:t>
      </w:r>
    </w:p>
    <w:p w14:paraId="02A51413">
      <w:pPr>
        <w:pStyle w:val="5"/>
        <w:spacing w:line="360" w:lineRule="auto"/>
        <w:rPr>
          <w:rFonts w:ascii="仿宋" w:hAnsi="仿宋" w:eastAsia="仿宋" w:cs="仿宋"/>
          <w:color w:val="auto"/>
          <w:szCs w:val="28"/>
          <w:highlight w:val="none"/>
        </w:rPr>
      </w:pPr>
      <w:bookmarkStart w:id="51" w:name="_Toc13263"/>
      <w:r>
        <w:rPr>
          <w:rFonts w:hint="eastAsia" w:ascii="仿宋" w:hAnsi="仿宋" w:eastAsia="仿宋" w:cs="仿宋"/>
          <w:color w:val="auto"/>
          <w:sz w:val="28"/>
          <w:szCs w:val="28"/>
          <w:highlight w:val="none"/>
          <w:lang w:val="en-US" w:eastAsia="zh-CN"/>
        </w:rPr>
        <w:t>2.3.11.2</w:t>
      </w:r>
      <w:r>
        <w:rPr>
          <w:rFonts w:hint="eastAsia" w:ascii="仿宋" w:hAnsi="仿宋" w:eastAsia="仿宋" w:cs="仿宋"/>
          <w:color w:val="auto"/>
          <w:szCs w:val="28"/>
          <w:highlight w:val="none"/>
        </w:rPr>
        <w:t>地基均匀性评价</w:t>
      </w:r>
      <w:bookmarkEnd w:id="51"/>
    </w:p>
    <w:p w14:paraId="4582B6B6">
      <w:pPr>
        <w:autoSpaceDE w:val="0"/>
        <w:autoSpaceDN w:val="0"/>
        <w:adjustRightInd w:val="0"/>
        <w:spacing w:line="360" w:lineRule="auto"/>
        <w:ind w:firstLine="280" w:firstLineChars="100"/>
        <w:rPr>
          <w:rFonts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拟建场地内现状覆盖层为第四系素填土和粉质黏土。素填土分布于场地大部分范围，厚度变化较大，均匀性一般；粉质黏土在拟建场地部分地段分布，局部地段缺失，分布不连续，均匀性较差；强风化层基岩，揭示厚度不一，裂隙发育，岩体完整性较差，均匀性较差，属不均匀地基；经钻探揭示，场地中风化层岩层，层位纵横向延伸稳定，承载力较高，均匀性较好。</w:t>
      </w:r>
    </w:p>
    <w:p w14:paraId="7931D37C">
      <w:pPr>
        <w:pStyle w:val="5"/>
        <w:spacing w:line="360" w:lineRule="auto"/>
        <w:rPr>
          <w:rFonts w:ascii="仿宋" w:hAnsi="仿宋" w:eastAsia="仿宋" w:cs="仿宋"/>
          <w:color w:val="auto"/>
          <w:szCs w:val="28"/>
          <w:highlight w:val="none"/>
        </w:rPr>
      </w:pPr>
      <w:bookmarkStart w:id="52" w:name="_Toc12544"/>
      <w:r>
        <w:rPr>
          <w:rFonts w:hint="eastAsia" w:ascii="仿宋" w:hAnsi="仿宋" w:eastAsia="仿宋" w:cs="仿宋"/>
          <w:color w:val="auto"/>
          <w:sz w:val="28"/>
          <w:szCs w:val="28"/>
          <w:highlight w:val="none"/>
          <w:lang w:val="en-US" w:eastAsia="zh-CN"/>
        </w:rPr>
        <w:t>2.3.11.3</w:t>
      </w:r>
      <w:r>
        <w:rPr>
          <w:rFonts w:hint="eastAsia" w:ascii="仿宋" w:hAnsi="仿宋" w:eastAsia="仿宋" w:cs="仿宋"/>
          <w:color w:val="auto"/>
          <w:szCs w:val="28"/>
          <w:highlight w:val="none"/>
        </w:rPr>
        <w:t>地基稳定性评价</w:t>
      </w:r>
      <w:bookmarkEnd w:id="52"/>
    </w:p>
    <w:p w14:paraId="1A2AE265">
      <w:pPr>
        <w:autoSpaceDE w:val="0"/>
        <w:autoSpaceDN w:val="0"/>
        <w:adjustRightInd w:val="0"/>
        <w:spacing w:line="360" w:lineRule="auto"/>
        <w:ind w:firstLine="280" w:firstLineChars="100"/>
        <w:rPr>
          <w:rFonts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根据钻探结果揭示，持力层及下卧层以下无洞穴、软弱夹层、河沟浜等不良地质问题，因此，存在填土时，对其进行夯实压实处理后，地基稳定。</w:t>
      </w:r>
    </w:p>
    <w:p w14:paraId="2264E66E">
      <w:pPr>
        <w:pStyle w:val="5"/>
        <w:spacing w:line="360" w:lineRule="auto"/>
        <w:rPr>
          <w:rFonts w:ascii="仿宋" w:hAnsi="仿宋" w:eastAsia="仿宋" w:cs="仿宋"/>
          <w:color w:val="auto"/>
          <w:szCs w:val="28"/>
          <w:highlight w:val="none"/>
        </w:rPr>
      </w:pPr>
      <w:bookmarkStart w:id="53" w:name="_Toc14797"/>
      <w:r>
        <w:rPr>
          <w:rFonts w:hint="eastAsia" w:ascii="仿宋" w:hAnsi="仿宋" w:eastAsia="仿宋" w:cs="仿宋"/>
          <w:color w:val="auto"/>
          <w:sz w:val="28"/>
          <w:szCs w:val="28"/>
          <w:highlight w:val="none"/>
          <w:lang w:val="en-US" w:eastAsia="zh-CN"/>
        </w:rPr>
        <w:t>2.3.11.4</w:t>
      </w:r>
      <w:r>
        <w:rPr>
          <w:rFonts w:hint="eastAsia" w:ascii="仿宋" w:hAnsi="仿宋" w:eastAsia="仿宋" w:cs="仿宋"/>
          <w:color w:val="auto"/>
          <w:szCs w:val="28"/>
          <w:highlight w:val="none"/>
        </w:rPr>
        <w:t>持力层选择</w:t>
      </w:r>
      <w:bookmarkEnd w:id="53"/>
    </w:p>
    <w:p w14:paraId="4459A8D1">
      <w:pPr>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素填土：场地内大部分地段分布，厚度变化较大，分布不均匀，不宜选作建筑物的地基持力层；填土经压实、夯实、换填处理后，可作为管网基础，其承载力特征值及变形参数经现场测试确定，并满足设计要求。</w:t>
      </w:r>
    </w:p>
    <w:p w14:paraId="25630BC8">
      <w:pPr>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2）粉质黏土：仅局部地形相对平缓处见有分布，分布连续，厚度较小，承载力值低，不宜作建筑物的基础持力层，作为管道等对荷载要求较低，对沉降不敏感的拟建物的持力层。</w:t>
      </w:r>
    </w:p>
    <w:p w14:paraId="10FC9A0F">
      <w:pPr>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3）强风化基岩：分布不均，厚度变化大，可作为管道等对荷载要求较低，对沉降不敏感的拟建物的持力层。</w:t>
      </w:r>
    </w:p>
    <w:p w14:paraId="415C3219">
      <w:pPr>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4）中等风化基岩：分布广，岩体连续性、稳定性和力学强度好，岩体较破碎，宜作为管道持力层。</w:t>
      </w:r>
    </w:p>
    <w:p w14:paraId="0F1F53E0">
      <w:pPr>
        <w:pStyle w:val="5"/>
        <w:spacing w:line="360" w:lineRule="auto"/>
        <w:rPr>
          <w:rFonts w:ascii="仿宋" w:hAnsi="仿宋" w:eastAsia="仿宋" w:cs="仿宋"/>
          <w:color w:val="auto"/>
          <w:szCs w:val="28"/>
          <w:highlight w:val="none"/>
        </w:rPr>
      </w:pPr>
      <w:bookmarkStart w:id="54" w:name="_Toc31803"/>
      <w:r>
        <w:rPr>
          <w:rFonts w:hint="eastAsia" w:ascii="仿宋" w:hAnsi="仿宋" w:eastAsia="仿宋" w:cs="仿宋"/>
          <w:color w:val="auto"/>
          <w:sz w:val="28"/>
          <w:szCs w:val="28"/>
          <w:highlight w:val="none"/>
          <w:lang w:val="en-US" w:eastAsia="zh-CN"/>
        </w:rPr>
        <w:t>2.3.11.5</w:t>
      </w:r>
      <w:r>
        <w:rPr>
          <w:rFonts w:hint="eastAsia" w:ascii="仿宋" w:hAnsi="仿宋" w:eastAsia="仿宋" w:cs="仿宋"/>
          <w:color w:val="auto"/>
          <w:szCs w:val="28"/>
          <w:highlight w:val="none"/>
        </w:rPr>
        <w:t>地基及基础施工建议</w:t>
      </w:r>
      <w:bookmarkEnd w:id="54"/>
    </w:p>
    <w:p w14:paraId="7019AF61">
      <w:pPr>
        <w:spacing w:line="360" w:lineRule="auto"/>
        <w:ind w:firstLine="56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（1）勘察期间，地下水较贫乏，基础施工时做好地表水、施工用水排放，必要时配备排水设备，以供使用。</w:t>
      </w:r>
    </w:p>
    <w:p w14:paraId="39DCEB90">
      <w:pPr>
        <w:spacing w:line="360" w:lineRule="auto"/>
        <w:ind w:firstLine="56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（2）挖方弃土应及时运离孔口，以免不当堆载，危及基坑稳定。</w:t>
      </w:r>
    </w:p>
    <w:p w14:paraId="3E6DDF91">
      <w:pPr>
        <w:spacing w:line="360" w:lineRule="auto"/>
        <w:ind w:firstLine="56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（3）对基底加强岩石取样工作，以验证设计承载力。</w:t>
      </w:r>
    </w:p>
    <w:p w14:paraId="5A26AE53">
      <w:pPr>
        <w:spacing w:line="360" w:lineRule="auto"/>
        <w:ind w:firstLine="56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（4）填土作为路基持力层使用时，应采取压实或换填处理措施。通过现场荷载试验确定其地基承载力，建议压实度应满足设计要求。</w:t>
      </w:r>
    </w:p>
    <w:p w14:paraId="376BF4E3">
      <w:pPr>
        <w:pStyle w:val="5"/>
        <w:spacing w:line="360" w:lineRule="auto"/>
        <w:rPr>
          <w:rFonts w:ascii="仿宋" w:hAnsi="仿宋" w:eastAsia="仿宋" w:cs="仿宋"/>
          <w:color w:val="auto"/>
          <w:szCs w:val="28"/>
          <w:highlight w:val="none"/>
        </w:rPr>
      </w:pPr>
      <w:bookmarkStart w:id="55" w:name="_Toc17574"/>
      <w:r>
        <w:rPr>
          <w:rFonts w:hint="eastAsia" w:ascii="仿宋" w:hAnsi="仿宋" w:eastAsia="仿宋" w:cs="仿宋"/>
          <w:color w:val="auto"/>
          <w:sz w:val="28"/>
          <w:szCs w:val="28"/>
          <w:highlight w:val="none"/>
          <w:lang w:val="en-US" w:eastAsia="zh-CN"/>
        </w:rPr>
        <w:t>2.3.11.6</w:t>
      </w:r>
      <w:r>
        <w:rPr>
          <w:rFonts w:hint="eastAsia" w:ascii="仿宋" w:hAnsi="仿宋" w:eastAsia="仿宋" w:cs="仿宋"/>
          <w:color w:val="auto"/>
          <w:szCs w:val="28"/>
          <w:highlight w:val="none"/>
        </w:rPr>
        <w:t>基坑（槽）施工对已有建筑的影响评价及建议</w:t>
      </w:r>
      <w:bookmarkEnd w:id="55"/>
    </w:p>
    <w:p w14:paraId="29DC38BA">
      <w:pPr>
        <w:numPr>
          <w:ilvl w:val="0"/>
          <w:numId w:val="4"/>
        </w:numPr>
        <w:spacing w:line="360" w:lineRule="auto"/>
        <w:ind w:firstLine="56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拟建工程在施工过程中所产生的弃渣应及时运出，严禁弃渣堆放在边坡坡顶，增加边坡坡顶荷载，影响边坡稳定；严禁无序大开挖、大爆破作业；拟建工程加强科学施工、文明施工后对环境不会产生不良影响。</w:t>
      </w:r>
    </w:p>
    <w:p w14:paraId="48467212">
      <w:pPr>
        <w:numPr>
          <w:ilvl w:val="0"/>
          <w:numId w:val="4"/>
        </w:numPr>
        <w:spacing w:line="360" w:lineRule="auto"/>
        <w:ind w:firstLine="56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拟建管线距离部分已建管网较近，管线施工对已建管道存在一定的影响，建议施工时加强对原有管线的保护措施。</w:t>
      </w:r>
    </w:p>
    <w:p w14:paraId="1231036A">
      <w:pPr>
        <w:pStyle w:val="5"/>
        <w:spacing w:line="360" w:lineRule="auto"/>
        <w:rPr>
          <w:rFonts w:ascii="仿宋" w:hAnsi="仿宋" w:eastAsia="仿宋" w:cs="仿宋"/>
          <w:color w:val="auto"/>
          <w:szCs w:val="28"/>
          <w:highlight w:val="none"/>
        </w:rPr>
      </w:pPr>
      <w:bookmarkStart w:id="56" w:name="_Toc2486"/>
      <w:r>
        <w:rPr>
          <w:rFonts w:hint="eastAsia" w:ascii="仿宋" w:hAnsi="仿宋" w:eastAsia="仿宋" w:cs="仿宋"/>
          <w:color w:val="auto"/>
          <w:sz w:val="28"/>
          <w:szCs w:val="28"/>
          <w:highlight w:val="none"/>
          <w:lang w:val="en-US" w:eastAsia="zh-CN"/>
        </w:rPr>
        <w:t>2.3.11.7</w:t>
      </w:r>
      <w:r>
        <w:rPr>
          <w:rFonts w:hint="eastAsia" w:ascii="仿宋" w:hAnsi="仿宋" w:eastAsia="仿宋" w:cs="仿宋"/>
          <w:color w:val="auto"/>
          <w:szCs w:val="28"/>
          <w:highlight w:val="none"/>
        </w:rPr>
        <w:t>场地特殊岩土评价</w:t>
      </w:r>
      <w:bookmarkEnd w:id="56"/>
    </w:p>
    <w:p w14:paraId="3DD803A1">
      <w:pPr>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素填土：现状素填土厚度在0m～19.5m，根据钻探揭示，填土呈稍湿、松散～中密，稍密为主，颗粒大小不一，具有湿陷性、易产生不均匀沉降等特性；建议对素填土分层进行地基处理。</w:t>
      </w:r>
    </w:p>
    <w:p w14:paraId="0A7D012D">
      <w:pPr>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粉质黏土：粉质黏土为残坡积土，属特殊性岩土，由粘土矿物组成，底部含少量泥岩角砾，一般呈可塑状，局部夹少量有机质，变异性较大。</w:t>
      </w:r>
    </w:p>
    <w:p w14:paraId="2F39AA88">
      <w:pPr>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风化岩：风化岩主要为场地强风化岩体，为砂、泥岩在原地风化产物，其结构较中风化模糊，组成成分已发生较大变化，胶结物对岩石颗粒的固结作用已大大下降。根据本次勘察钻孔数据，厚度变化较大，强度低，受水侵蚀易崩解，风化岩一般不能直接作为基础持力层，不能长期裸露。</w:t>
      </w:r>
    </w:p>
    <w:p w14:paraId="67BF9326">
      <w:pPr>
        <w:pStyle w:val="5"/>
        <w:spacing w:line="360" w:lineRule="auto"/>
        <w:rPr>
          <w:rFonts w:ascii="仿宋" w:hAnsi="仿宋" w:eastAsia="仿宋" w:cs="仿宋"/>
          <w:color w:val="auto"/>
          <w:szCs w:val="28"/>
          <w:highlight w:val="none"/>
        </w:rPr>
      </w:pPr>
      <w:bookmarkStart w:id="57" w:name="_Toc14142"/>
      <w:r>
        <w:rPr>
          <w:rFonts w:hint="eastAsia" w:ascii="仿宋" w:hAnsi="仿宋" w:eastAsia="仿宋" w:cs="仿宋"/>
          <w:color w:val="auto"/>
          <w:sz w:val="28"/>
          <w:szCs w:val="28"/>
          <w:highlight w:val="none"/>
          <w:lang w:val="en-US" w:eastAsia="zh-CN"/>
        </w:rPr>
        <w:t>2.3.11.8</w:t>
      </w:r>
      <w:r>
        <w:rPr>
          <w:rFonts w:hint="eastAsia" w:ascii="仿宋" w:hAnsi="仿宋" w:eastAsia="仿宋" w:cs="仿宋"/>
          <w:color w:val="auto"/>
          <w:szCs w:val="28"/>
          <w:highlight w:val="none"/>
        </w:rPr>
        <w:t>地质可能造成的工程风险分析</w:t>
      </w:r>
      <w:bookmarkEnd w:id="57"/>
    </w:p>
    <w:p w14:paraId="6BED36E3">
      <w:pPr>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根据《住房城乡建设部办公厅关于进一步加强危险性较大的分部分项工程安全管理的通知》建办质【2017】39号文“勘察单位应当针对工程实际，在勘察文件中说明地质条件可能造成的工程风险”的要求，通过前文所述，场地地质条件可能造成的风险主要有以下几个方面： </w:t>
      </w:r>
    </w:p>
    <w:p w14:paraId="1ABBFBFE">
      <w:pPr>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场平过程中填方土质边坡施工过程中压实度及放坡坡率不足的情况下，可能导致局部土体内部圆弧滑动破坏，施工过程中加强质量检测。对岩质边坡，若爆破开挖，导致岩土破碎程度增加，可能发生局部失稳破坏。严禁大开挖、大爆破作业；不应在边坡潜在坍滑区超量堆载；完善排水措施，满足地表水（暴雨）、地下水和施工用水排放要求；按规定实施施工监测和第三方监测，指定专人对边坡周边进行巡视，出现危险征兆时应当立即报警。根据渝建发（2010）166号文规定，其边坡支护设计方案业主应组织专家进行安全专项论证。</w:t>
      </w:r>
    </w:p>
    <w:p w14:paraId="7C151804">
      <w:pPr>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总之，应按“渝建发[2010]166号、建安发[2016]22号、渝建发[2014]16号、建质[2009]87号”、建办质[2017]39号、建安办函[2017]12号要求对场平边坡坡进行管理并采取信息法施工。对场地危大工程按</w:t>
      </w:r>
      <w:r>
        <w:rPr>
          <w:rFonts w:hint="eastAsia" w:ascii="仿宋" w:hAnsi="仿宋" w:eastAsia="仿宋" w:cs="仿宋"/>
          <w:bCs/>
          <w:color w:val="auto"/>
          <w:sz w:val="28"/>
          <w:szCs w:val="28"/>
          <w:highlight w:val="none"/>
          <w:shd w:val="clear" w:color="auto" w:fill="FFFFFF"/>
        </w:rPr>
        <w:t>《危险性较大的分部分项工程安全管理实施细则（</w:t>
      </w:r>
      <w:r>
        <w:rPr>
          <w:rFonts w:hint="eastAsia" w:ascii="仿宋" w:hAnsi="仿宋" w:eastAsia="仿宋" w:cs="仿宋"/>
          <w:bCs/>
          <w:color w:val="auto"/>
          <w:sz w:val="28"/>
          <w:szCs w:val="28"/>
          <w:highlight w:val="none"/>
        </w:rPr>
        <w:t>2019年</w:t>
      </w:r>
      <w:r>
        <w:rPr>
          <w:rFonts w:hint="eastAsia" w:ascii="仿宋" w:hAnsi="仿宋" w:eastAsia="仿宋" w:cs="仿宋"/>
          <w:bCs/>
          <w:color w:val="auto"/>
          <w:sz w:val="28"/>
          <w:szCs w:val="28"/>
          <w:highlight w:val="none"/>
          <w:shd w:val="clear" w:color="auto" w:fill="FFFFFF"/>
        </w:rPr>
        <w:t>版）》执行</w:t>
      </w:r>
      <w:r>
        <w:rPr>
          <w:rFonts w:hint="eastAsia" w:ascii="仿宋" w:hAnsi="仿宋" w:eastAsia="仿宋" w:cs="仿宋"/>
          <w:bCs/>
          <w:color w:val="auto"/>
          <w:sz w:val="28"/>
          <w:szCs w:val="28"/>
          <w:highlight w:val="none"/>
        </w:rPr>
        <w:t>。</w:t>
      </w:r>
    </w:p>
    <w:p w14:paraId="00F7F2DE">
      <w:pPr>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（2）拟建场地上覆土层为素填土、粉质黏土，填土厚度较大地段，岩土变化段可能存在不均匀沉降的工程风险。</w:t>
      </w:r>
    </w:p>
    <w:p w14:paraId="4838B3DA">
      <w:pPr>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（3）场地内土层覆盖层和强风化层较厚，在钻探深度范围内无稳定统一的地下水位存在，雨季易受降雨补给，加强基槽排水措施。</w:t>
      </w:r>
    </w:p>
    <w:p w14:paraId="501D2AEF">
      <w:pPr>
        <w:spacing w:line="360" w:lineRule="auto"/>
        <w:ind w:firstLine="560" w:firstLineChars="200"/>
        <w:rPr>
          <w:rFonts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rPr>
        <w:t>（4）</w:t>
      </w:r>
      <w:r>
        <w:rPr>
          <w:rFonts w:hint="eastAsia" w:ascii="仿宋" w:hAnsi="仿宋" w:eastAsia="仿宋" w:cs="仿宋"/>
          <w:bCs/>
          <w:color w:val="auto"/>
          <w:sz w:val="28"/>
          <w:szCs w:val="28"/>
          <w:highlight w:val="none"/>
          <w:lang w:val="zh-CN"/>
        </w:rPr>
        <w:t>本报告所提岩土参数值系在概率统计的基础上的标准值，在实际工程采样检测时，不可避免地会出现实测值与报告建议值的差异；本报告所列岩层及裂隙产状为地表调查的优势产状数据，与实际可能存在一定的差异。施工期间开挖后有与报告不符时，应通知勘察单位进行复核。</w:t>
      </w:r>
    </w:p>
    <w:p w14:paraId="51CCD70A">
      <w:pPr>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zh-CN"/>
        </w:rPr>
        <w:t>（</w:t>
      </w:r>
      <w:r>
        <w:rPr>
          <w:rFonts w:hint="eastAsia" w:ascii="仿宋" w:hAnsi="仿宋" w:eastAsia="仿宋" w:cs="仿宋"/>
          <w:bCs/>
          <w:color w:val="auto"/>
          <w:sz w:val="28"/>
          <w:szCs w:val="28"/>
          <w:highlight w:val="none"/>
        </w:rPr>
        <w:t>5</w:t>
      </w:r>
      <w:r>
        <w:rPr>
          <w:rFonts w:hint="eastAsia" w:ascii="仿宋" w:hAnsi="仿宋" w:eastAsia="仿宋" w:cs="仿宋"/>
          <w:bCs/>
          <w:color w:val="auto"/>
          <w:sz w:val="28"/>
          <w:szCs w:val="28"/>
          <w:highlight w:val="none"/>
          <w:lang w:val="zh-CN"/>
        </w:rPr>
        <w:t>）</w:t>
      </w:r>
      <w:r>
        <w:rPr>
          <w:rFonts w:hint="eastAsia" w:ascii="仿宋" w:hAnsi="仿宋" w:eastAsia="仿宋" w:cs="仿宋"/>
          <w:bCs/>
          <w:color w:val="auto"/>
          <w:sz w:val="28"/>
          <w:szCs w:val="28"/>
          <w:highlight w:val="none"/>
        </w:rPr>
        <w:t>在施工过程中所产生的弃渣应及时运出，严禁无序大开挖、大爆破作业；拟建工程加强科学施工、文明施工后对环境不会产生不良影响。</w:t>
      </w:r>
    </w:p>
    <w:p w14:paraId="0E6D2947">
      <w:pPr>
        <w:pStyle w:val="4"/>
        <w:spacing w:before="0" w:after="0" w:line="360" w:lineRule="auto"/>
        <w:rPr>
          <w:rFonts w:ascii="仿宋" w:hAnsi="仿宋" w:eastAsia="仿宋" w:cs="仿宋"/>
          <w:color w:val="auto"/>
          <w:sz w:val="28"/>
          <w:szCs w:val="28"/>
          <w:highlight w:val="none"/>
        </w:rPr>
      </w:pPr>
      <w:bookmarkStart w:id="58" w:name="_Toc20069"/>
      <w:bookmarkStart w:id="59" w:name="_Toc29034"/>
      <w:r>
        <w:rPr>
          <w:rFonts w:hint="eastAsia" w:ascii="仿宋" w:hAnsi="仿宋" w:eastAsia="仿宋" w:cs="仿宋"/>
          <w:color w:val="auto"/>
          <w:sz w:val="28"/>
          <w:szCs w:val="28"/>
          <w:highlight w:val="none"/>
          <w:lang w:val="en-US" w:eastAsia="zh-CN"/>
        </w:rPr>
        <w:t>2.3.12</w:t>
      </w:r>
      <w:r>
        <w:rPr>
          <w:rFonts w:hint="eastAsia" w:ascii="仿宋" w:hAnsi="仿宋" w:eastAsia="仿宋" w:cs="仿宋"/>
          <w:color w:val="auto"/>
          <w:sz w:val="28"/>
          <w:szCs w:val="28"/>
          <w:highlight w:val="none"/>
        </w:rPr>
        <w:t>结论及建议</w:t>
      </w:r>
      <w:bookmarkEnd w:id="58"/>
      <w:bookmarkEnd w:id="59"/>
    </w:p>
    <w:p w14:paraId="77BCD4C3">
      <w:pPr>
        <w:pStyle w:val="5"/>
        <w:spacing w:line="360" w:lineRule="auto"/>
        <w:rPr>
          <w:rFonts w:ascii="仿宋" w:hAnsi="仿宋" w:eastAsia="仿宋" w:cs="仿宋"/>
          <w:color w:val="auto"/>
          <w:szCs w:val="28"/>
          <w:highlight w:val="none"/>
        </w:rPr>
      </w:pPr>
      <w:bookmarkStart w:id="60" w:name="_Toc14884"/>
      <w:bookmarkStart w:id="61" w:name="_Toc4044"/>
      <w:bookmarkStart w:id="62" w:name="_Toc4831"/>
      <w:bookmarkStart w:id="63" w:name="_Toc697"/>
      <w:bookmarkStart w:id="64" w:name="_Toc26077"/>
      <w:bookmarkStart w:id="65" w:name="_Toc26434"/>
      <w:bookmarkStart w:id="66" w:name="_Toc18124"/>
      <w:r>
        <w:rPr>
          <w:rFonts w:hint="eastAsia" w:ascii="仿宋" w:hAnsi="仿宋" w:eastAsia="仿宋" w:cs="仿宋"/>
          <w:color w:val="auto"/>
          <w:szCs w:val="28"/>
          <w:highlight w:val="none"/>
          <w:lang w:val="en-US" w:eastAsia="zh-CN"/>
        </w:rPr>
        <w:t>2.3.12.1</w:t>
      </w:r>
      <w:r>
        <w:rPr>
          <w:rFonts w:hint="eastAsia" w:ascii="仿宋" w:hAnsi="仿宋" w:eastAsia="仿宋" w:cs="仿宋"/>
          <w:color w:val="auto"/>
          <w:szCs w:val="28"/>
          <w:highlight w:val="none"/>
        </w:rPr>
        <w:t>结论</w:t>
      </w:r>
      <w:bookmarkEnd w:id="60"/>
      <w:bookmarkEnd w:id="61"/>
      <w:bookmarkEnd w:id="62"/>
      <w:bookmarkEnd w:id="63"/>
    </w:p>
    <w:p w14:paraId="7DC025A2">
      <w:pPr>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据地表工程地质调绘及钻探揭露成果，管网沿线及其附近区域未见滑坡、崩塌、泥石流、软弱夹层及地下洞穴等不良地质现象，场地现状稳定；当对场地内基坑边坡进行临时支挡稳定后，场地整体稳定；当对场地内填土较厚地段进行压实处理后，地基才整体稳定；才适宜各拟建构筑物建设。</w:t>
      </w:r>
    </w:p>
    <w:p w14:paraId="44BF8996">
      <w:pPr>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2、拟建场地抗震设防烈度为6度，设计基本地震加速度值为0.05g，设计地震分组为第一组。拟建建筑物抗震场地类别见4.4节地震效应评价。</w:t>
      </w:r>
    </w:p>
    <w:p w14:paraId="6E22B793">
      <w:pPr>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根据现场调查，场地周边无制造酸、碱等的污染源，无污染性厂矿企业，无污染水源流入场地，钻探表明地基土无污染迹象。按照《岩土工程勘察规范》GB50021-2001（2009年版）附录G判定场地环境类型为III类，依据《岩土工程勘察规范》（GB 50021 -2001）（2009年版）12.1、12.2条的评价标准和地区经验进行评判，素填土为强透水层，为Ａ型；粉质黏土为弱透水层，为Ｂ型。综合地区经验及周围相关资料，</w:t>
      </w:r>
      <w:r>
        <w:rPr>
          <w:rFonts w:hint="eastAsia" w:ascii="仿宋" w:hAnsi="仿宋" w:eastAsia="仿宋" w:cs="仿宋"/>
          <w:bCs/>
          <w:color w:val="auto"/>
          <w:sz w:val="28"/>
          <w:szCs w:val="28"/>
          <w:highlight w:val="none"/>
          <w:lang w:val="zh-CN"/>
        </w:rPr>
        <w:t>环境</w:t>
      </w:r>
      <w:r>
        <w:rPr>
          <w:rFonts w:hint="eastAsia" w:ascii="仿宋" w:hAnsi="仿宋" w:eastAsia="仿宋" w:cs="仿宋"/>
          <w:bCs/>
          <w:color w:val="auto"/>
          <w:sz w:val="28"/>
          <w:szCs w:val="28"/>
          <w:highlight w:val="none"/>
        </w:rPr>
        <w:t>土对混凝土结构和钢筋混凝土结构中钢筋具微腐蚀性，土对钢结构具微腐蚀性；场地地表水及地下水对混凝土结构和钢筋混凝土结构中钢筋具弱腐蚀性。</w:t>
      </w:r>
    </w:p>
    <w:p w14:paraId="35AA4B63">
      <w:pPr>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按照《工程勘察标准》（DBJ50/T-043-2024）表4.3.6的土石可挖性分类标准，场地素填土整体呈松散～中密状，稍密为主，土石类别属硬土，土石等级为Ⅲ级；场地粉质黏土整体呈可塑状，土石类别属松土，土石等级为I级强风化基岩的土石类别为硬土，土石分级为Ⅲ级；中风化砂岩为较软岩，土石类别为次坚石、土石分级为V级；中风化砂质泥岩为极软岩，土石类别为软石、土石分级为Ⅳ级。详见表3.5-1。</w:t>
      </w:r>
    </w:p>
    <w:p w14:paraId="72D9EFAF">
      <w:pPr>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5、根据《工程勘察标准》（DBJ50/T-043-2024）3.0.8条判定，该管道工程安全等级多为三～二级，场地类别划分为复杂场地（详见表1.4-1）。根据《工程勘察标准》（DBJ50/T-043-2024）确定,本工程勘察等级为甲级。</w:t>
      </w:r>
    </w:p>
    <w:p w14:paraId="7182B2F0">
      <w:pPr>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6、施工</w:t>
      </w:r>
      <w:r>
        <w:rPr>
          <w:rFonts w:hint="eastAsia" w:ascii="仿宋" w:hAnsi="仿宋" w:eastAsia="仿宋" w:cs="仿宋"/>
          <w:bCs/>
          <w:color w:val="auto"/>
          <w:sz w:val="28"/>
          <w:szCs w:val="28"/>
          <w:highlight w:val="none"/>
          <w:lang w:val="zh-CN"/>
        </w:rPr>
        <w:t>完善排水措施</w:t>
      </w:r>
      <w:r>
        <w:rPr>
          <w:rFonts w:hint="eastAsia" w:ascii="仿宋" w:hAnsi="仿宋" w:eastAsia="仿宋" w:cs="仿宋"/>
          <w:bCs/>
          <w:color w:val="auto"/>
          <w:sz w:val="28"/>
          <w:szCs w:val="28"/>
          <w:highlight w:val="none"/>
        </w:rPr>
        <w:t>后</w:t>
      </w:r>
      <w:r>
        <w:rPr>
          <w:rFonts w:hint="eastAsia" w:ascii="仿宋" w:hAnsi="仿宋" w:eastAsia="仿宋" w:cs="仿宋"/>
          <w:bCs/>
          <w:color w:val="auto"/>
          <w:sz w:val="28"/>
          <w:szCs w:val="28"/>
          <w:highlight w:val="none"/>
          <w:lang w:val="zh-CN"/>
        </w:rPr>
        <w:t>本项目可不进行抗浮设计，排水不畅时应根据现场实际水位考虑抗浮设计。</w:t>
      </w:r>
    </w:p>
    <w:bookmarkEnd w:id="64"/>
    <w:bookmarkEnd w:id="65"/>
    <w:bookmarkEnd w:id="66"/>
    <w:p w14:paraId="6D22D0AF">
      <w:pPr>
        <w:pStyle w:val="5"/>
        <w:spacing w:line="360" w:lineRule="auto"/>
        <w:rPr>
          <w:rFonts w:ascii="仿宋" w:hAnsi="仿宋" w:eastAsia="仿宋" w:cs="仿宋"/>
          <w:color w:val="auto"/>
          <w:szCs w:val="28"/>
          <w:highlight w:val="none"/>
        </w:rPr>
      </w:pPr>
      <w:bookmarkStart w:id="67" w:name="_Toc20071"/>
      <w:r>
        <w:rPr>
          <w:rFonts w:hint="eastAsia" w:ascii="仿宋" w:hAnsi="仿宋" w:eastAsia="仿宋" w:cs="仿宋"/>
          <w:color w:val="auto"/>
          <w:szCs w:val="28"/>
          <w:highlight w:val="none"/>
          <w:lang w:val="en-US" w:eastAsia="zh-CN"/>
        </w:rPr>
        <w:t>2.3.12.2</w:t>
      </w:r>
      <w:r>
        <w:rPr>
          <w:rFonts w:hint="eastAsia" w:ascii="仿宋" w:hAnsi="仿宋" w:eastAsia="仿宋" w:cs="仿宋"/>
          <w:color w:val="auto"/>
          <w:szCs w:val="28"/>
          <w:highlight w:val="none"/>
        </w:rPr>
        <w:t>建议</w:t>
      </w:r>
      <w:bookmarkEnd w:id="67"/>
    </w:p>
    <w:p w14:paraId="17ECE65F">
      <w:pPr>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1、由于基坑开挖后，周边地表水将向地势降低的基坑底部汇集，建议雨季施工时应加强排水措施。</w:t>
      </w:r>
    </w:p>
    <w:p w14:paraId="511DD87F">
      <w:pPr>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拟建工程在施工过程中应注意现场的文明施工，选择合适的施工时段，避免影响周边居民休息，及时检修设备，降低噪声，减少施工排渣对环境的影响，做好有效的防护措施。排放的泥浆、渣易对场地周围环境造成污染以及河流污染，因此应对废弃的浆、渣进行有效处理。</w:t>
      </w:r>
    </w:p>
    <w:p w14:paraId="7A221BA0">
      <w:pPr>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3、施工中应配备抽水设备，以抽排基坑中渗入的地表水和地下水，雨季施工应注意疏排地表水流；基槽开挖验收合格后，应立即封闭或留保护层，以免影响岩体的承载力。</w:t>
      </w:r>
    </w:p>
    <w:p w14:paraId="6319D9C6">
      <w:pPr>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4、工程地质评价及建议见第2.</w:t>
      </w:r>
      <w:r>
        <w:rPr>
          <w:rFonts w:hint="eastAsia" w:ascii="仿宋" w:hAnsi="仿宋" w:eastAsia="仿宋" w:cs="仿宋"/>
          <w:bCs/>
          <w:color w:val="auto"/>
          <w:sz w:val="28"/>
          <w:szCs w:val="28"/>
          <w:highlight w:val="none"/>
          <w:lang w:val="en-US" w:eastAsia="zh-CN"/>
        </w:rPr>
        <w:t>3.</w:t>
      </w:r>
      <w:r>
        <w:rPr>
          <w:rFonts w:hint="eastAsia" w:ascii="仿宋" w:hAnsi="仿宋" w:eastAsia="仿宋" w:cs="仿宋"/>
          <w:bCs/>
          <w:color w:val="auto"/>
          <w:sz w:val="28"/>
          <w:szCs w:val="28"/>
          <w:highlight w:val="none"/>
        </w:rPr>
        <w:t>10.5节。</w:t>
      </w:r>
    </w:p>
    <w:p w14:paraId="4D096364">
      <w:pPr>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5、岩土体设计参数建议值见2.</w:t>
      </w:r>
      <w:r>
        <w:rPr>
          <w:rFonts w:hint="eastAsia" w:ascii="仿宋" w:hAnsi="仿宋" w:eastAsia="仿宋" w:cs="仿宋"/>
          <w:bCs/>
          <w:color w:val="auto"/>
          <w:sz w:val="28"/>
          <w:szCs w:val="28"/>
          <w:highlight w:val="none"/>
          <w:lang w:val="en-US" w:eastAsia="zh-CN"/>
        </w:rPr>
        <w:t>3.</w:t>
      </w:r>
      <w:r>
        <w:rPr>
          <w:rFonts w:hint="eastAsia" w:ascii="仿宋" w:hAnsi="仿宋" w:eastAsia="仿宋" w:cs="仿宋"/>
          <w:bCs/>
          <w:color w:val="auto"/>
          <w:sz w:val="28"/>
          <w:szCs w:val="28"/>
          <w:highlight w:val="none"/>
        </w:rPr>
        <w:t>9.3节。</w:t>
      </w:r>
    </w:p>
    <w:p w14:paraId="6CFA3896">
      <w:pPr>
        <w:adjustRightInd w:val="0"/>
        <w:snapToGrid w:val="0"/>
        <w:spacing w:line="360" w:lineRule="auto"/>
        <w:ind w:firstLine="560" w:firstLineChars="200"/>
        <w:rPr>
          <w:rFonts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rPr>
        <w:t>6、</w:t>
      </w:r>
      <w:r>
        <w:rPr>
          <w:rFonts w:hint="eastAsia" w:ascii="仿宋" w:hAnsi="仿宋" w:eastAsia="仿宋" w:cs="仿宋"/>
          <w:bCs/>
          <w:color w:val="auto"/>
          <w:sz w:val="28"/>
          <w:szCs w:val="28"/>
          <w:highlight w:val="none"/>
          <w:lang w:val="zh-CN"/>
        </w:rPr>
        <w:t>对场内形成的边坡应采取自上而下、分段跳槽、及时支护的逆作法施工，严禁无序大开挖、大爆破作业。</w:t>
      </w:r>
    </w:p>
    <w:p w14:paraId="1500F3C7">
      <w:pPr>
        <w:adjustRightInd w:val="0"/>
        <w:snapToGrid w:val="0"/>
        <w:spacing w:line="360" w:lineRule="auto"/>
        <w:ind w:firstLine="560" w:firstLineChars="200"/>
        <w:rPr>
          <w:rFonts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rPr>
        <w:t>7、</w:t>
      </w:r>
      <w:r>
        <w:rPr>
          <w:rFonts w:hint="eastAsia" w:ascii="仿宋" w:hAnsi="仿宋" w:eastAsia="仿宋" w:cs="仿宋"/>
          <w:bCs/>
          <w:color w:val="auto"/>
          <w:sz w:val="28"/>
          <w:szCs w:val="28"/>
          <w:highlight w:val="none"/>
          <w:lang w:val="zh-CN"/>
        </w:rPr>
        <w:t>施工开挖检查井时，应进行专门设计，避免坍塌，特别是针对素填土应加强支护竖井施工时应采取逆作法施工，严禁无序大开挖、大爆破作业。</w:t>
      </w:r>
    </w:p>
    <w:p w14:paraId="569262A4">
      <w:pPr>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8、边坡开挖过程中，严禁抢工期，严禁超挖、超载，严禁不按设计要求的施工顺序施工或设计方案施工。严格按照“逆做法、信息法”设计及施工，挖方边坡开挖过程中应采取变形监测措施。</w:t>
      </w:r>
    </w:p>
    <w:p w14:paraId="2DEAF4F8">
      <w:pPr>
        <w:adjustRightInd w:val="0"/>
        <w:snapToGrid w:val="0"/>
        <w:spacing w:line="360" w:lineRule="auto"/>
        <w:ind w:firstLine="560" w:firstLineChars="200"/>
        <w:rPr>
          <w:rFonts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rPr>
        <w:t>9、</w:t>
      </w:r>
      <w:r>
        <w:rPr>
          <w:rFonts w:hint="eastAsia" w:ascii="仿宋" w:hAnsi="仿宋" w:eastAsia="仿宋" w:cs="仿宋"/>
          <w:bCs/>
          <w:color w:val="auto"/>
          <w:sz w:val="28"/>
          <w:szCs w:val="28"/>
          <w:highlight w:val="none"/>
          <w:lang w:val="zh-CN"/>
        </w:rPr>
        <w:t>应加强对</w:t>
      </w:r>
      <w:r>
        <w:rPr>
          <w:rFonts w:hint="eastAsia" w:ascii="仿宋" w:hAnsi="仿宋" w:eastAsia="仿宋" w:cs="仿宋"/>
          <w:bCs/>
          <w:color w:val="auto"/>
          <w:sz w:val="28"/>
          <w:szCs w:val="28"/>
          <w:highlight w:val="none"/>
        </w:rPr>
        <w:t>支挡</w:t>
      </w:r>
      <w:r>
        <w:rPr>
          <w:rFonts w:hint="eastAsia" w:ascii="仿宋" w:hAnsi="仿宋" w:eastAsia="仿宋" w:cs="仿宋"/>
          <w:bCs/>
          <w:color w:val="auto"/>
          <w:sz w:val="28"/>
          <w:szCs w:val="28"/>
          <w:highlight w:val="none"/>
          <w:lang w:val="zh-CN"/>
        </w:rPr>
        <w:t>工程施工期间及竣工后的监测工作，具体监测方法及频率按《建筑边坡工程技术规范》（GB 50330-20</w:t>
      </w:r>
      <w:r>
        <w:rPr>
          <w:rFonts w:hint="eastAsia" w:ascii="仿宋" w:hAnsi="仿宋" w:eastAsia="仿宋" w:cs="仿宋"/>
          <w:bCs/>
          <w:color w:val="auto"/>
          <w:sz w:val="28"/>
          <w:szCs w:val="28"/>
          <w:highlight w:val="none"/>
        </w:rPr>
        <w:t>13</w:t>
      </w:r>
      <w:r>
        <w:rPr>
          <w:rFonts w:hint="eastAsia" w:ascii="仿宋" w:hAnsi="仿宋" w:eastAsia="仿宋" w:cs="仿宋"/>
          <w:bCs/>
          <w:color w:val="auto"/>
          <w:sz w:val="28"/>
          <w:szCs w:val="28"/>
          <w:highlight w:val="none"/>
          <w:lang w:val="zh-CN"/>
        </w:rPr>
        <w:t>）执行。</w:t>
      </w:r>
    </w:p>
    <w:p w14:paraId="37A9373D">
      <w:pPr>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10、本工程持力层深度是按规范进行钻探后按剖面钻孔揭露地质情况进行推测的，部分地段的异常地质情况有不可预见性，工程投资预算应考虑以上因素。</w:t>
      </w:r>
    </w:p>
    <w:p w14:paraId="2B76361C">
      <w:pPr>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11、拟建管线明挖施工时将形成的多段临时边坡。场地不具备放坡条件时，建议在开挖时进行采用内支撑或其他临时支挡措施。施工前应做好相邻建构筑物和管网埋藏情况的调查、声相记录及安全施工保证措施；边坡施工严格按《建筑坡工程技术规范》（GB50330-2013）及勘察设计要求进行，采用动态设计，信息施工法，建议采用逆作法，分段跳槽、自上而下、及时支护，严禁无序大开挖、大爆破作业，及时封闭边坡，并作好坡顶和坡面的防排水措施。</w:t>
      </w:r>
    </w:p>
    <w:p w14:paraId="79F7091F">
      <w:pPr>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12、拟建场地部分基础位于素填土中，素填土可能产生不均匀沉降导致管道局部开裂，施工过程中对地基处理是必要的，建议采用强夯压实处理，达到设计压实度要求。施工期间应对管涵，临近地段建筑进行保护，加强对管网的探测工作。建议施工前进行周边环境专项调查，进一步查明地下建筑、地下管线等的分布情况，以便采取必要的保护、监测措施，必要时应进行改迁，建议项目前期预算时重点考虑该部分费用。</w:t>
      </w:r>
    </w:p>
    <w:p w14:paraId="66FA276E">
      <w:pPr>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13、填土作为管道持力层使用时，应采取压实或换填处理措施。通过现场荷载试验确定其地基承载力，建议压实度应满足设计要求。</w:t>
      </w:r>
    </w:p>
    <w:p w14:paraId="4C34217D">
      <w:pPr>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14、场地危大工程按现行《危险性较大的分部分项工程安全管理规定》进行管理。地质可能造成的工程风险分析见2.</w:t>
      </w:r>
      <w:r>
        <w:rPr>
          <w:rFonts w:hint="eastAsia" w:ascii="仿宋" w:hAnsi="仿宋" w:eastAsia="仿宋" w:cs="仿宋"/>
          <w:bCs/>
          <w:color w:val="auto"/>
          <w:sz w:val="28"/>
          <w:szCs w:val="28"/>
          <w:highlight w:val="none"/>
          <w:lang w:val="en-US" w:eastAsia="zh-CN"/>
        </w:rPr>
        <w:t>3.</w:t>
      </w:r>
      <w:r>
        <w:rPr>
          <w:rFonts w:hint="eastAsia" w:ascii="仿宋" w:hAnsi="仿宋" w:eastAsia="仿宋" w:cs="仿宋"/>
          <w:bCs/>
          <w:color w:val="auto"/>
          <w:sz w:val="28"/>
          <w:szCs w:val="28"/>
          <w:highlight w:val="none"/>
        </w:rPr>
        <w:t>11.8节。</w:t>
      </w:r>
    </w:p>
    <w:p w14:paraId="130D429C">
      <w:pPr>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15、对于场地内的高边坡，按渝建发〔2010〕166号文执行。</w:t>
      </w:r>
    </w:p>
    <w:p w14:paraId="4F8DA8A6">
      <w:pPr>
        <w:pStyle w:val="1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16、施工期间，在距离较近的建筑及边坡开挖时，边坡应先支护后开挖，同时在施工过程中需加强对其监测及保护工作，场地施工严禁采用爆破施工及大面积开挖。建议施工过程中选择合理的施工方案，选择合理的施工时段，尽量减少施工对道路及周边环境影响，并做好对已建建筑物及管线的监测与保护。</w:t>
      </w:r>
    </w:p>
    <w:p w14:paraId="1162AD13">
      <w:pPr>
        <w:adjustRightInd w:val="0"/>
        <w:snapToGrid w:val="0"/>
        <w:spacing w:line="36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17、场地内中等风化带岩石其物理力学性质指标具有一定的变异性，施工时可能在局部地段岩石抗压强度实测值略低或高于标准值的情况，建议设计时予以考虑并预留调整措施，本报告中的岩石强度参数标准值是根据岩石室内试验成果按规范规定统计得出，是反映场地内岩石整体特征的代表值，与具体开挖位置的实测值会存在一定差异，在此提请本报告使用者予以注意。</w:t>
      </w:r>
    </w:p>
    <w:p w14:paraId="795E63A6">
      <w:pPr>
        <w:adjustRightInd w:val="0"/>
        <w:snapToGrid w:val="0"/>
        <w:spacing w:line="360" w:lineRule="auto"/>
        <w:ind w:firstLine="560" w:firstLineChars="200"/>
        <w:rPr>
          <w:rFonts w:eastAsia="仿宋"/>
          <w:color w:val="auto"/>
          <w:highlight w:val="none"/>
        </w:rPr>
      </w:pPr>
      <w:r>
        <w:rPr>
          <w:rFonts w:hint="eastAsia" w:ascii="仿宋" w:hAnsi="仿宋" w:eastAsia="仿宋" w:cs="仿宋"/>
          <w:bCs/>
          <w:color w:val="auto"/>
          <w:sz w:val="28"/>
          <w:szCs w:val="28"/>
          <w:highlight w:val="none"/>
        </w:rPr>
        <w:t>18、由于勘察工作是以点代面的，难以反映出整个场地的所有工程地质条件，特别是难以反映局部异常的变化，因此，在施工中应进行地质验槽和岩土工程监理工作。以免产生不良后果，后期由于设计方案发生调整，未经我单位认证，不得采用本报告作为设计依据。</w:t>
      </w:r>
    </w:p>
    <w:p w14:paraId="13846C88">
      <w:pPr>
        <w:pStyle w:val="35"/>
        <w:numPr>
          <w:ilvl w:val="0"/>
          <w:numId w:val="1"/>
        </w:numPr>
        <w:adjustRightInd w:val="0"/>
        <w:snapToGrid w:val="0"/>
        <w:ind w:firstLineChars="0"/>
        <w:outlineLvl w:val="0"/>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管网改造设计</w:t>
      </w:r>
    </w:p>
    <w:p w14:paraId="2D744441">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3.1 设计原则</w:t>
      </w:r>
    </w:p>
    <w:p w14:paraId="0ADD3BCA">
      <w:pPr>
        <w:pStyle w:val="6"/>
        <w:ind w:firstLine="560"/>
        <w:rPr>
          <w:rFonts w:hint="eastAsia" w:ascii="仿宋" w:hAnsi="仿宋" w:eastAsia="仿宋" w:cs="仿宋"/>
          <w:color w:val="auto"/>
          <w:highlight w:val="none"/>
        </w:rPr>
      </w:pPr>
      <w:r>
        <w:rPr>
          <w:rFonts w:hint="eastAsia" w:ascii="仿宋" w:hAnsi="仿宋" w:eastAsia="仿宋" w:cs="仿宋"/>
          <w:color w:val="auto"/>
          <w:highlight w:val="none"/>
        </w:rPr>
        <w:t>（1）平面布置原则</w:t>
      </w:r>
    </w:p>
    <w:p w14:paraId="752047CC">
      <w:pPr>
        <w:pStyle w:val="6"/>
        <w:ind w:firstLine="560"/>
        <w:rPr>
          <w:rFonts w:hint="eastAsia" w:ascii="仿宋" w:hAnsi="仿宋" w:eastAsia="仿宋" w:cs="仿宋"/>
          <w:color w:val="auto"/>
          <w:highlight w:val="none"/>
        </w:rPr>
      </w:pPr>
      <w:r>
        <w:rPr>
          <w:rFonts w:hint="eastAsia" w:ascii="仿宋" w:hAnsi="仿宋" w:eastAsia="仿宋" w:cs="仿宋"/>
          <w:color w:val="auto"/>
          <w:highlight w:val="none"/>
        </w:rPr>
        <w:t>管线的布置应便于周边建筑支管的接入和维护管理方便。各种管线尽量布置在人行道或非机动车道下，管线的平面间距应满足《城市工程管线综合规划规范（GB50289-2016）》要求。</w:t>
      </w:r>
    </w:p>
    <w:p w14:paraId="2D32726B">
      <w:pPr>
        <w:pStyle w:val="6"/>
        <w:ind w:firstLine="560"/>
        <w:rPr>
          <w:rFonts w:hint="eastAsia" w:ascii="仿宋" w:hAnsi="仿宋" w:eastAsia="仿宋" w:cs="仿宋"/>
          <w:color w:val="auto"/>
          <w:highlight w:val="none"/>
        </w:rPr>
      </w:pPr>
      <w:r>
        <w:rPr>
          <w:rFonts w:hint="eastAsia" w:ascii="仿宋" w:hAnsi="仿宋" w:eastAsia="仿宋" w:cs="仿宋"/>
          <w:color w:val="auto"/>
          <w:highlight w:val="none"/>
        </w:rPr>
        <w:t>（2）竖向设计原则</w:t>
      </w:r>
    </w:p>
    <w:p w14:paraId="02681B43">
      <w:pPr>
        <w:pStyle w:val="6"/>
        <w:ind w:firstLine="560"/>
        <w:rPr>
          <w:rFonts w:hint="eastAsia" w:ascii="仿宋" w:hAnsi="仿宋" w:eastAsia="仿宋" w:cs="仿宋"/>
          <w:color w:val="auto"/>
          <w:highlight w:val="none"/>
        </w:rPr>
      </w:pPr>
      <w:r>
        <w:rPr>
          <w:rFonts w:hint="eastAsia" w:ascii="仿宋" w:hAnsi="仿宋" w:eastAsia="仿宋" w:cs="仿宋"/>
          <w:color w:val="auto"/>
          <w:highlight w:val="none"/>
        </w:rPr>
        <w:t>各种管线大致分层布置：污水、雨水等重力流管线布置在最下层；须采用沟道形式敷设的电力管线布置在最上层；管道交叉时,压力流管线让重力流管线；小口径管线让大口径管线；柔性结构管线让刚性结构管线。</w:t>
      </w:r>
    </w:p>
    <w:p w14:paraId="68D31BA7">
      <w:pPr>
        <w:pStyle w:val="6"/>
        <w:ind w:firstLine="560"/>
        <w:rPr>
          <w:rFonts w:hint="eastAsia" w:ascii="仿宋" w:hAnsi="仿宋" w:eastAsia="仿宋" w:cs="仿宋"/>
          <w:color w:val="auto"/>
          <w:highlight w:val="none"/>
        </w:rPr>
      </w:pPr>
      <w:r>
        <w:rPr>
          <w:rFonts w:hint="eastAsia" w:ascii="仿宋" w:hAnsi="仿宋" w:eastAsia="仿宋" w:cs="仿宋"/>
          <w:color w:val="auto"/>
          <w:highlight w:val="none"/>
        </w:rPr>
        <w:t>（3）设计标准</w:t>
      </w:r>
    </w:p>
    <w:p w14:paraId="1ED5DDA5">
      <w:pPr>
        <w:pStyle w:val="6"/>
        <w:ind w:firstLine="560"/>
        <w:rPr>
          <w:rFonts w:hint="eastAsia" w:ascii="仿宋" w:hAnsi="仿宋" w:eastAsia="仿宋" w:cs="仿宋"/>
          <w:color w:val="auto"/>
          <w:highlight w:val="none"/>
        </w:rPr>
      </w:pPr>
      <w:r>
        <w:rPr>
          <w:rFonts w:hint="eastAsia" w:ascii="仿宋" w:hAnsi="仿宋" w:eastAsia="仿宋" w:cs="仿宋"/>
          <w:color w:val="auto"/>
          <w:highlight w:val="none"/>
        </w:rPr>
        <w:t>管网设计应符合城市总体规划和片区控制性详细规划的基本要求。综合管网设计应满足地区经济和社会长远发展的需要，同时注意远期发展与分期实施相结合的原则。综合管道均按远期设计，并能适应片区建设需要，考虑分期实施的可能性。</w:t>
      </w:r>
    </w:p>
    <w:p w14:paraId="66BF9183">
      <w:pPr>
        <w:pStyle w:val="6"/>
        <w:ind w:firstLine="560"/>
        <w:rPr>
          <w:rFonts w:hint="eastAsia" w:ascii="仿宋" w:hAnsi="仿宋" w:eastAsia="仿宋" w:cs="仿宋"/>
          <w:color w:val="auto"/>
          <w:highlight w:val="none"/>
        </w:rPr>
      </w:pPr>
      <w:r>
        <w:rPr>
          <w:rFonts w:hint="eastAsia" w:ascii="仿宋" w:hAnsi="仿宋" w:eastAsia="仿宋" w:cs="仿宋"/>
          <w:color w:val="auto"/>
          <w:highlight w:val="none"/>
        </w:rPr>
        <w:t>（4）新建管网充分考虑区域管线现状及地块建设的情况，结合地块建设规划，在管道断面、平面布置、高程布置上适应功能的需要和地块使用的可能性、便利性。</w:t>
      </w:r>
    </w:p>
    <w:p w14:paraId="61CF925F">
      <w:pPr>
        <w:pStyle w:val="6"/>
        <w:ind w:firstLine="560"/>
        <w:rPr>
          <w:rFonts w:hint="eastAsia" w:ascii="仿宋" w:hAnsi="仿宋" w:eastAsia="仿宋" w:cs="仿宋"/>
          <w:color w:val="auto"/>
          <w:highlight w:val="none"/>
        </w:rPr>
      </w:pPr>
      <w:r>
        <w:rPr>
          <w:rFonts w:hint="eastAsia" w:ascii="仿宋" w:hAnsi="仿宋" w:eastAsia="仿宋" w:cs="仿宋"/>
          <w:color w:val="auto"/>
          <w:highlight w:val="none"/>
        </w:rPr>
        <w:t>（5）污水管道、合流管道与生活给水管道相交时，应敷设在生活给水管道的下面。</w:t>
      </w:r>
    </w:p>
    <w:p w14:paraId="3C5B04C1">
      <w:pPr>
        <w:pStyle w:val="6"/>
        <w:ind w:firstLine="560"/>
        <w:rPr>
          <w:rFonts w:hint="eastAsia" w:ascii="仿宋" w:hAnsi="仿宋" w:eastAsia="仿宋" w:cs="仿宋"/>
          <w:color w:val="auto"/>
          <w:highlight w:val="none"/>
        </w:rPr>
      </w:pPr>
      <w:r>
        <w:rPr>
          <w:rFonts w:hint="eastAsia" w:ascii="仿宋" w:hAnsi="仿宋" w:eastAsia="仿宋" w:cs="仿宋"/>
          <w:color w:val="auto"/>
          <w:highlight w:val="none"/>
        </w:rPr>
        <w:t>（6）排水管网设计应满足地区经济和社会长远发展的需要，同时注意远期发展与分期实施相结合的原则。排水管道均按远期设计，并能适应片区建设需要，考虑分期实施的可能性。</w:t>
      </w:r>
    </w:p>
    <w:p w14:paraId="3BB94CB2">
      <w:pPr>
        <w:pStyle w:val="6"/>
        <w:ind w:firstLine="560"/>
        <w:rPr>
          <w:rFonts w:hint="eastAsia" w:ascii="仿宋" w:hAnsi="仿宋" w:eastAsia="仿宋" w:cs="仿宋"/>
          <w:color w:val="auto"/>
          <w:highlight w:val="none"/>
        </w:rPr>
      </w:pPr>
      <w:r>
        <w:rPr>
          <w:rFonts w:hint="eastAsia" w:ascii="仿宋" w:hAnsi="仿宋" w:eastAsia="仿宋" w:cs="仿宋"/>
          <w:color w:val="auto"/>
          <w:highlight w:val="none"/>
        </w:rPr>
        <w:t>（7）新建排水管网充分考虑区域排水现状及地块建设的情况，结合地块建设规划，在排水管道断面、平面布置、高程布置上适应功能的需要和接入的可能性、便利性。</w:t>
      </w:r>
    </w:p>
    <w:p w14:paraId="62C07F5F">
      <w:pPr>
        <w:pStyle w:val="6"/>
        <w:ind w:firstLine="560"/>
        <w:rPr>
          <w:rFonts w:hint="eastAsia" w:ascii="仿宋" w:hAnsi="仿宋" w:eastAsia="仿宋" w:cs="仿宋"/>
          <w:color w:val="auto"/>
          <w:highlight w:val="none"/>
        </w:rPr>
      </w:pPr>
      <w:r>
        <w:rPr>
          <w:rFonts w:hint="eastAsia" w:ascii="仿宋" w:hAnsi="仿宋" w:eastAsia="仿宋" w:cs="仿宋"/>
          <w:color w:val="auto"/>
          <w:highlight w:val="none"/>
        </w:rPr>
        <w:t>（8）排水管网设计注意技术性与经济性相结合。尊重事实，在满足设计标准的前提下，尽量考虑利用现有管网体系和排水设施，并将其整合以发挥功能。</w:t>
      </w:r>
    </w:p>
    <w:p w14:paraId="32082E3E">
      <w:pPr>
        <w:pStyle w:val="6"/>
        <w:ind w:firstLine="560"/>
        <w:rPr>
          <w:rFonts w:hint="eastAsia" w:ascii="仿宋" w:hAnsi="仿宋" w:eastAsia="仿宋" w:cs="仿宋"/>
          <w:color w:val="auto"/>
          <w:highlight w:val="none"/>
        </w:rPr>
      </w:pPr>
      <w:r>
        <w:rPr>
          <w:rFonts w:hint="eastAsia" w:ascii="仿宋" w:hAnsi="仿宋" w:eastAsia="仿宋" w:cs="仿宋"/>
          <w:color w:val="auto"/>
          <w:highlight w:val="none"/>
        </w:rPr>
        <w:t>（9）排水管道的平面、高程布置充分考虑各种城市管线的敷设走廊，在考虑经济性的同时预留足够的空间，为管线综合提供条件。</w:t>
      </w:r>
    </w:p>
    <w:p w14:paraId="2EAAA52E">
      <w:pPr>
        <w:adjustRightInd w:val="0"/>
        <w:snapToGrid w:val="0"/>
        <w:ind w:firstLine="562"/>
        <w:outlineLvl w:val="1"/>
        <w:rPr>
          <w:rFonts w:hint="eastAsia" w:ascii="仿宋" w:hAnsi="仿宋" w:eastAsia="仿宋" w:cs="仿宋"/>
          <w:b/>
          <w:color w:val="auto"/>
          <w:szCs w:val="28"/>
          <w:highlight w:val="none"/>
        </w:rPr>
      </w:pPr>
      <w:bookmarkStart w:id="68" w:name="_Toc139465846"/>
      <w:r>
        <w:rPr>
          <w:rFonts w:hint="eastAsia" w:ascii="仿宋" w:hAnsi="仿宋" w:eastAsia="仿宋" w:cs="仿宋"/>
          <w:b/>
          <w:color w:val="auto"/>
          <w:szCs w:val="28"/>
          <w:highlight w:val="none"/>
        </w:rPr>
        <w:t>3.2设计思路</w:t>
      </w:r>
      <w:bookmarkEnd w:id="68"/>
    </w:p>
    <w:p w14:paraId="101D7A16">
      <w:pPr>
        <w:adjustRightInd w:val="0"/>
        <w:ind w:firstLine="562"/>
        <w:contextualSpacing/>
        <w:outlineLvl w:val="2"/>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rPr>
        <w:t>3.2.1雨水系统设计思路</w:t>
      </w:r>
    </w:p>
    <w:p w14:paraId="01988BC4">
      <w:pPr>
        <w:pStyle w:val="36"/>
        <w:rPr>
          <w:rFonts w:hint="eastAsia" w:ascii="仿宋" w:hAnsi="仿宋" w:eastAsia="仿宋" w:cs="仿宋"/>
          <w:color w:val="auto"/>
          <w:highlight w:val="none"/>
        </w:rPr>
      </w:pPr>
      <w:r>
        <w:rPr>
          <w:rFonts w:hint="eastAsia" w:ascii="仿宋" w:hAnsi="仿宋" w:eastAsia="仿宋" w:cs="仿宋"/>
          <w:color w:val="auto"/>
          <w:highlight w:val="none"/>
        </w:rPr>
        <w:t>（1）针对市政雨接污混接问题，本次设计对标段范围内的雨接污混接点分析改造。通过新建、</w:t>
      </w:r>
      <w:r>
        <w:rPr>
          <w:rFonts w:hint="eastAsia" w:ascii="仿宋" w:hAnsi="仿宋" w:eastAsia="仿宋" w:cs="仿宋"/>
          <w:color w:val="auto"/>
          <w:highlight w:val="none"/>
          <w:lang w:val="en-US"/>
        </w:rPr>
        <w:t>改建</w:t>
      </w:r>
      <w:r>
        <w:rPr>
          <w:rFonts w:hint="eastAsia" w:ascii="仿宋" w:hAnsi="仿宋" w:eastAsia="仿宋" w:cs="仿宋"/>
          <w:color w:val="auto"/>
          <w:highlight w:val="none"/>
        </w:rPr>
        <w:t>雨水管道接入市政雨水系统，实现错接改造。</w:t>
      </w:r>
    </w:p>
    <w:p w14:paraId="684D3A06">
      <w:pPr>
        <w:pStyle w:val="36"/>
        <w:rPr>
          <w:rFonts w:hint="eastAsia" w:ascii="仿宋" w:hAnsi="仿宋" w:eastAsia="仿宋" w:cs="仿宋"/>
          <w:color w:val="auto"/>
          <w:highlight w:val="none"/>
        </w:rPr>
      </w:pPr>
      <w:r>
        <w:rPr>
          <w:rFonts w:hint="eastAsia" w:ascii="仿宋" w:hAnsi="仿宋" w:eastAsia="仿宋" w:cs="仿宋"/>
          <w:color w:val="auto"/>
          <w:highlight w:val="none"/>
        </w:rPr>
        <w:t>（2）针对局部积水问题，通过分析积水原因，有针对性的采取补充雨水管、增大下游雨水管断面等措施，解决积水内涝问题。</w:t>
      </w:r>
    </w:p>
    <w:p w14:paraId="714A0DF3">
      <w:pPr>
        <w:adjustRightInd w:val="0"/>
        <w:ind w:firstLine="562"/>
        <w:contextualSpacing/>
        <w:outlineLvl w:val="2"/>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rPr>
        <w:t>3.2.2污水系统设计思路</w:t>
      </w:r>
    </w:p>
    <w:p w14:paraId="7B33C0EA">
      <w:pPr>
        <w:pStyle w:val="36"/>
        <w:rPr>
          <w:rFonts w:hint="eastAsia" w:ascii="仿宋" w:hAnsi="仿宋" w:eastAsia="仿宋" w:cs="仿宋"/>
          <w:color w:val="auto"/>
          <w:highlight w:val="none"/>
        </w:rPr>
      </w:pPr>
      <w:r>
        <w:rPr>
          <w:rFonts w:hint="eastAsia" w:ascii="仿宋" w:hAnsi="仿宋" w:eastAsia="仿宋" w:cs="仿宋"/>
          <w:color w:val="auto"/>
          <w:highlight w:val="none"/>
        </w:rPr>
        <w:t>针对市政污接雨混接问题，本次设计对标段范围内的雨接污混接点分析改造。通过新建、</w:t>
      </w:r>
      <w:r>
        <w:rPr>
          <w:rFonts w:hint="eastAsia" w:ascii="仿宋" w:hAnsi="仿宋" w:eastAsia="仿宋" w:cs="仿宋"/>
          <w:color w:val="auto"/>
          <w:highlight w:val="none"/>
          <w:lang w:val="en-US"/>
        </w:rPr>
        <w:t>改建</w:t>
      </w:r>
      <w:r>
        <w:rPr>
          <w:rFonts w:hint="eastAsia" w:ascii="仿宋" w:hAnsi="仿宋" w:eastAsia="仿宋" w:cs="仿宋"/>
          <w:color w:val="auto"/>
          <w:highlight w:val="none"/>
        </w:rPr>
        <w:t>污水管道，将错接污水管道引入邻近污水系统，实现错接改造。</w:t>
      </w:r>
    </w:p>
    <w:p w14:paraId="6EE5A3FE">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3.3 设计标准及基本参数</w:t>
      </w:r>
    </w:p>
    <w:p w14:paraId="391F1459">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1）设计年限</w:t>
      </w:r>
    </w:p>
    <w:p w14:paraId="0FDFDE0A">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结合片区规划以及项目实际情况，充分考虑本工程的建设周期、服务区域发展等因素，工程设计年限按远期考虑。</w:t>
      </w:r>
    </w:p>
    <w:p w14:paraId="3DF5F942">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2）排水体制</w:t>
      </w:r>
    </w:p>
    <w:p w14:paraId="2E52EF8E">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本工程排水体制采用雨、污水分流制，雨、污水管网分别自成体系。</w:t>
      </w:r>
    </w:p>
    <w:p w14:paraId="0CD49219">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3）设计规模</w:t>
      </w:r>
    </w:p>
    <w:p w14:paraId="51375189">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污水按城市综合污水量（城市综合用水量标准的90%）和规划人口进行计算。</w:t>
      </w:r>
    </w:p>
    <w:p w14:paraId="236197D5">
      <w:pPr>
        <w:adjustRightInd w:val="0"/>
        <w:snapToGrid w:val="0"/>
        <w:ind w:firstLine="562"/>
        <w:outlineLvl w:val="1"/>
        <w:rPr>
          <w:rFonts w:hint="eastAsia" w:ascii="仿宋" w:hAnsi="仿宋" w:eastAsia="仿宋" w:cs="仿宋"/>
          <w:b/>
          <w:color w:val="auto"/>
          <w:szCs w:val="28"/>
          <w:highlight w:val="none"/>
        </w:rPr>
      </w:pPr>
      <w:bookmarkStart w:id="69" w:name="_Toc497127060"/>
      <w:r>
        <w:rPr>
          <w:rFonts w:hint="eastAsia" w:ascii="仿宋" w:hAnsi="仿宋" w:eastAsia="仿宋" w:cs="仿宋"/>
          <w:b/>
          <w:color w:val="auto"/>
          <w:szCs w:val="28"/>
          <w:highlight w:val="none"/>
        </w:rPr>
        <w:t>3.4 基本设计参数</w:t>
      </w:r>
      <w:bookmarkEnd w:id="69"/>
    </w:p>
    <w:p w14:paraId="28D8A7E3">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最大设计流速：污水塑胶管Vmax=6m/s，雨水塑胶管Vmax=8m/s，金属管Vmax=10m/s；钢筋混凝土管Vmax=5m/s。</w:t>
      </w:r>
    </w:p>
    <w:p w14:paraId="440EF99D">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最小流速：污水管道在设计充满度下为Vmin=0.6m/s。</w:t>
      </w:r>
    </w:p>
    <w:p w14:paraId="3343D190">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管材粗糙系数：塑料管取0.01，球墨铸铁管取0.013，钢筋混凝土管取0.014。</w:t>
      </w:r>
    </w:p>
    <w:p w14:paraId="71104E87">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雨水管道按满流设计；污水按非满流设计其最大设计充满度按下表：</w:t>
      </w:r>
    </w:p>
    <w:p w14:paraId="5CA11406">
      <w:pPr>
        <w:ind w:firstLine="560"/>
        <w:rPr>
          <w:rFonts w:hint="eastAsia" w:ascii="仿宋" w:hAnsi="仿宋" w:eastAsia="仿宋" w:cs="仿宋"/>
          <w:color w:val="auto"/>
          <w:szCs w:val="28"/>
          <w:highlight w:val="none"/>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73"/>
        <w:gridCol w:w="3911"/>
      </w:tblGrid>
      <w:tr w14:paraId="42FFA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73" w:type="dxa"/>
            <w:vAlign w:val="center"/>
          </w:tcPr>
          <w:p w14:paraId="5501C9AB">
            <w:pPr>
              <w:adjustRightInd w:val="0"/>
              <w:snapToGrid w:val="0"/>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管  径</w:t>
            </w:r>
          </w:p>
        </w:tc>
        <w:tc>
          <w:tcPr>
            <w:tcW w:w="3911" w:type="dxa"/>
            <w:vAlign w:val="center"/>
          </w:tcPr>
          <w:p w14:paraId="3E367B5C">
            <w:pPr>
              <w:adjustRightInd w:val="0"/>
              <w:snapToGrid w:val="0"/>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最大设计充满度</w:t>
            </w:r>
          </w:p>
        </w:tc>
      </w:tr>
      <w:tr w14:paraId="131C7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3" w:type="dxa"/>
            <w:vAlign w:val="center"/>
          </w:tcPr>
          <w:p w14:paraId="7043E6CB">
            <w:pPr>
              <w:adjustRightInd w:val="0"/>
              <w:snapToGrid w:val="0"/>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200~300</w:t>
            </w:r>
          </w:p>
        </w:tc>
        <w:tc>
          <w:tcPr>
            <w:tcW w:w="3911" w:type="dxa"/>
            <w:vAlign w:val="center"/>
          </w:tcPr>
          <w:p w14:paraId="5921C122">
            <w:pPr>
              <w:adjustRightInd w:val="0"/>
              <w:snapToGrid w:val="0"/>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0.55</w:t>
            </w:r>
          </w:p>
        </w:tc>
      </w:tr>
      <w:tr w14:paraId="197A0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3" w:type="dxa"/>
            <w:vAlign w:val="center"/>
          </w:tcPr>
          <w:p w14:paraId="36AE7E09">
            <w:pPr>
              <w:adjustRightInd w:val="0"/>
              <w:snapToGrid w:val="0"/>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350~450</w:t>
            </w:r>
          </w:p>
        </w:tc>
        <w:tc>
          <w:tcPr>
            <w:tcW w:w="3911" w:type="dxa"/>
            <w:vAlign w:val="center"/>
          </w:tcPr>
          <w:p w14:paraId="58B18A51">
            <w:pPr>
              <w:adjustRightInd w:val="0"/>
              <w:snapToGrid w:val="0"/>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0.65</w:t>
            </w:r>
          </w:p>
        </w:tc>
      </w:tr>
      <w:tr w14:paraId="49CEF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3" w:type="dxa"/>
            <w:vAlign w:val="center"/>
          </w:tcPr>
          <w:p w14:paraId="62867AC1">
            <w:pPr>
              <w:adjustRightInd w:val="0"/>
              <w:snapToGrid w:val="0"/>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500~900</w:t>
            </w:r>
          </w:p>
        </w:tc>
        <w:tc>
          <w:tcPr>
            <w:tcW w:w="3911" w:type="dxa"/>
            <w:vAlign w:val="center"/>
          </w:tcPr>
          <w:p w14:paraId="2EE819D9">
            <w:pPr>
              <w:adjustRightInd w:val="0"/>
              <w:snapToGrid w:val="0"/>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0.70</w:t>
            </w:r>
          </w:p>
        </w:tc>
      </w:tr>
      <w:tr w14:paraId="64E75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73" w:type="dxa"/>
            <w:vAlign w:val="center"/>
          </w:tcPr>
          <w:p w14:paraId="35A7F9A4">
            <w:pPr>
              <w:adjustRightInd w:val="0"/>
              <w:snapToGrid w:val="0"/>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≥1000</w:t>
            </w:r>
          </w:p>
        </w:tc>
        <w:tc>
          <w:tcPr>
            <w:tcW w:w="3911" w:type="dxa"/>
            <w:vAlign w:val="center"/>
          </w:tcPr>
          <w:p w14:paraId="2BA30DB2">
            <w:pPr>
              <w:adjustRightInd w:val="0"/>
              <w:snapToGrid w:val="0"/>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0.75</w:t>
            </w:r>
          </w:p>
        </w:tc>
      </w:tr>
    </w:tbl>
    <w:p w14:paraId="1D5C4D4E">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最小管径与最小设计坡度：室外排水管最小管径控制在d300，最小设计坡度控制在i=0.003；</w:t>
      </w:r>
    </w:p>
    <w:p w14:paraId="5EDF1E18">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本工程排水管道均采用管顶平接。</w:t>
      </w:r>
    </w:p>
    <w:p w14:paraId="4CB45945">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3.5雨水量计算</w:t>
      </w:r>
    </w:p>
    <w:p w14:paraId="4DFCE5E3">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（1）雨水设计流量公式：</w:t>
      </w:r>
    </w:p>
    <w:p w14:paraId="47381264">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Q=qψF（L/S）</w:t>
      </w:r>
    </w:p>
    <w:p w14:paraId="6D021055">
      <w:pPr>
        <w:pStyle w:val="6"/>
        <w:ind w:firstLine="560"/>
        <w:rPr>
          <w:rFonts w:hint="eastAsia" w:ascii="仿宋" w:hAnsi="仿宋" w:eastAsia="仿宋" w:cs="仿宋"/>
          <w:color w:val="auto"/>
          <w:highlight w:val="none"/>
        </w:rPr>
      </w:pPr>
      <w:r>
        <w:rPr>
          <w:rFonts w:hint="eastAsia" w:ascii="仿宋" w:hAnsi="仿宋" w:eastAsia="仿宋" w:cs="仿宋"/>
          <w:color w:val="auto"/>
          <w:highlight w:val="none"/>
        </w:rPr>
        <w:t>（2）本次设计暴雨强度公式根据《重庆市城乡建设委员会关于发布重庆市主城区暴雨强度修订公式的通知》（渝建[2017]443号，2017年8月22日）采用巴南区暴雨强度公式：</w:t>
      </w:r>
    </w:p>
    <w:p w14:paraId="417797FF">
      <w:pPr>
        <w:pStyle w:val="6"/>
        <w:spacing w:line="240" w:lineRule="auto"/>
        <w:ind w:firstLine="560"/>
        <w:jc w:val="center"/>
        <w:rPr>
          <w:rFonts w:hint="eastAsia" w:ascii="仿宋" w:hAnsi="仿宋" w:eastAsia="仿宋" w:cs="仿宋"/>
          <w:color w:val="auto"/>
          <w:highlight w:val="none"/>
        </w:rPr>
      </w:pPr>
      <w:r>
        <w:rPr>
          <w:rFonts w:hint="eastAsia" w:ascii="仿宋" w:hAnsi="仿宋" w:eastAsia="仿宋" w:cs="仿宋"/>
          <w:color w:val="auto"/>
          <w:highlight w:val="none"/>
        </w:rPr>
        <w:drawing>
          <wp:inline distT="0" distB="0" distL="0" distR="0">
            <wp:extent cx="1911985" cy="542925"/>
            <wp:effectExtent l="0" t="0" r="12065" b="0"/>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943425" cy="551979"/>
                    </a:xfrm>
                    <a:prstGeom prst="rect">
                      <a:avLst/>
                    </a:prstGeom>
                    <a:noFill/>
                    <a:ln>
                      <a:noFill/>
                    </a:ln>
                  </pic:spPr>
                </pic:pic>
              </a:graphicData>
            </a:graphic>
          </wp:inline>
        </w:drawing>
      </w:r>
    </w:p>
    <w:p w14:paraId="3A5BADEF">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重现期取值：新建管网取P=5年，内涝防治取100年；</w:t>
      </w:r>
    </w:p>
    <w:p w14:paraId="1AFA872E">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设计降雨历时：t=t1+t2(分钟)，其中地面集水时间：t1=5；t2(min)管渠内雨水流行时间：按计算确定。</w:t>
      </w:r>
    </w:p>
    <w:p w14:paraId="3D2B0FF1">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综合径流系数Ψ：取0.7。</w:t>
      </w:r>
    </w:p>
    <w:p w14:paraId="5C31FA99">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3.6污水量计算</w:t>
      </w:r>
    </w:p>
    <w:p w14:paraId="73428A14">
      <w:pPr>
        <w:ind w:firstLine="560"/>
        <w:contextualSpacing/>
        <w:rPr>
          <w:rFonts w:hint="eastAsia" w:eastAsia="仿宋"/>
          <w:b/>
          <w:bCs/>
          <w:color w:val="FF0000"/>
          <w:sz w:val="28"/>
          <w:szCs w:val="28"/>
          <w:highlight w:val="none"/>
          <w:lang w:val="en-US" w:eastAsia="zh-CN"/>
        </w:rPr>
      </w:pPr>
      <w:r>
        <w:rPr>
          <w:rFonts w:hint="eastAsia" w:eastAsia="仿宋"/>
          <w:b/>
          <w:bCs/>
          <w:color w:val="FF0000"/>
          <w:sz w:val="28"/>
          <w:szCs w:val="28"/>
          <w:highlight w:val="none"/>
        </w:rPr>
        <w:t>根据</w:t>
      </w:r>
      <w:r>
        <w:rPr>
          <w:rFonts w:hint="eastAsia" w:eastAsia="仿宋"/>
          <w:b/>
          <w:bCs/>
          <w:color w:val="FF0000"/>
          <w:sz w:val="28"/>
          <w:szCs w:val="28"/>
          <w:highlight w:val="none"/>
          <w:lang w:val="en-US" w:eastAsia="zh-CN"/>
        </w:rPr>
        <w:t>建设方提供资料以及与建工学院沟通，本次设计接纳建工职业学院污水出水，其出水流量为115.4m³/h，即32.05L/s。</w:t>
      </w:r>
    </w:p>
    <w:p w14:paraId="73234862">
      <w:pPr>
        <w:ind w:firstLine="560"/>
        <w:jc w:val="left"/>
        <w:rPr>
          <w:rFonts w:hint="eastAsia"/>
          <w:color w:val="auto"/>
          <w:highlight w:val="none"/>
        </w:rPr>
      </w:pPr>
      <w:r>
        <w:rPr>
          <w:rFonts w:hint="eastAsia" w:ascii="仿宋" w:hAnsi="仿宋" w:eastAsia="仿宋" w:cs="仿宋"/>
          <w:color w:val="auto"/>
          <w:szCs w:val="28"/>
          <w:highlight w:val="none"/>
        </w:rPr>
        <w:t>根据《室外排水设计标准》（GB50014-2021）4.1.19节，分流制污水系统的雨季设计流量是在旱季设计流量上增加截留雨水量。根据《室外排水设计标准》（GB50014-2021）4.1.21节，分流制污水管道应按旱季设计流量设计，并在雨季流量下校核。本次设计考虑截留雨水量取旱流污水量的2倍进行校核</w:t>
      </w:r>
      <w:r>
        <w:rPr>
          <w:rFonts w:hint="eastAsia" w:ascii="仿宋" w:hAnsi="仿宋" w:eastAsia="仿宋" w:cs="仿宋"/>
          <w:color w:val="auto"/>
          <w:szCs w:val="28"/>
          <w:highlight w:val="none"/>
          <w:lang w:eastAsia="zh-CN"/>
        </w:rPr>
        <w:t>，</w:t>
      </w:r>
      <w:r>
        <w:rPr>
          <w:rFonts w:hint="eastAsia" w:ascii="仿宋" w:hAnsi="仿宋" w:eastAsia="仿宋" w:cs="仿宋"/>
          <w:color w:val="auto"/>
          <w:szCs w:val="28"/>
          <w:highlight w:val="none"/>
        </w:rPr>
        <w:t>即雨季设计流量为旱季设计流量的</w:t>
      </w:r>
      <w:r>
        <w:rPr>
          <w:rFonts w:ascii="仿宋" w:hAnsi="仿宋" w:eastAsia="仿宋" w:cs="仿宋"/>
          <w:color w:val="auto"/>
          <w:szCs w:val="28"/>
          <w:highlight w:val="none"/>
        </w:rPr>
        <w:t>3</w:t>
      </w:r>
      <w:r>
        <w:rPr>
          <w:rFonts w:hint="eastAsia" w:ascii="仿宋" w:hAnsi="仿宋" w:eastAsia="仿宋" w:cs="仿宋"/>
          <w:color w:val="auto"/>
          <w:szCs w:val="28"/>
          <w:highlight w:val="none"/>
        </w:rPr>
        <w:t>倍。</w:t>
      </w:r>
    </w:p>
    <w:p w14:paraId="3258AAF6">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3.7管网改造设计</w:t>
      </w:r>
    </w:p>
    <w:p w14:paraId="1BE0EA6B">
      <w:pPr>
        <w:adjustRightInd w:val="0"/>
        <w:spacing w:line="560" w:lineRule="exact"/>
        <w:ind w:firstLine="560"/>
        <w:contextualSpacing/>
        <w:outlineLvl w:val="2"/>
        <w:rPr>
          <w:rFonts w:hint="eastAsia" w:ascii="仿宋" w:hAnsi="仿宋" w:eastAsia="仿宋" w:cs="仿宋"/>
          <w:color w:val="auto"/>
          <w:highlight w:val="none"/>
        </w:rPr>
      </w:pPr>
      <w:r>
        <w:rPr>
          <w:rFonts w:hint="eastAsia" w:ascii="仿宋" w:hAnsi="仿宋" w:eastAsia="仿宋" w:cs="仿宋"/>
          <w:color w:val="auto"/>
          <w:highlight w:val="none"/>
        </w:rPr>
        <w:t>3.7.1平面布置</w:t>
      </w:r>
    </w:p>
    <w:p w14:paraId="3BA540A6">
      <w:pPr>
        <w:ind w:firstLine="560"/>
        <w:rPr>
          <w:rFonts w:hint="default" w:ascii="仿宋" w:hAnsi="仿宋" w:eastAsia="仿宋" w:cs="仿宋"/>
          <w:color w:val="auto"/>
          <w:szCs w:val="28"/>
          <w:highlight w:val="none"/>
          <w:lang w:val="en-US" w:eastAsia="zh-CN"/>
        </w:rPr>
      </w:pPr>
      <w:r>
        <w:rPr>
          <w:rFonts w:hint="eastAsia" w:ascii="仿宋" w:hAnsi="仿宋" w:eastAsia="仿宋" w:cs="仿宋"/>
          <w:color w:val="auto"/>
          <w:szCs w:val="28"/>
          <w:highlight w:val="none"/>
          <w:lang w:val="en-US" w:eastAsia="zh-CN"/>
        </w:rPr>
        <w:t>本次设计始于</w:t>
      </w:r>
      <w:r>
        <w:rPr>
          <w:rFonts w:hint="eastAsia" w:ascii="仿宋" w:hAnsi="仿宋" w:eastAsia="仿宋" w:cs="仿宋"/>
          <w:color w:val="auto"/>
          <w:szCs w:val="28"/>
          <w:highlight w:val="none"/>
        </w:rPr>
        <w:t>建工职业学院东入口位置</w:t>
      </w:r>
      <w:r>
        <w:rPr>
          <w:rFonts w:hint="eastAsia" w:ascii="仿宋" w:hAnsi="仿宋" w:eastAsia="仿宋" w:cs="仿宋"/>
          <w:color w:val="auto"/>
          <w:szCs w:val="28"/>
          <w:highlight w:val="none"/>
          <w:lang w:eastAsia="zh-CN"/>
        </w:rPr>
        <w:t>，</w:t>
      </w:r>
      <w:r>
        <w:rPr>
          <w:rFonts w:hint="eastAsia" w:ascii="仿宋" w:hAnsi="仿宋" w:eastAsia="仿宋" w:cs="仿宋"/>
          <w:color w:val="auto"/>
          <w:szCs w:val="28"/>
          <w:highlight w:val="none"/>
          <w:lang w:val="en-US" w:eastAsia="zh-CN"/>
        </w:rPr>
        <w:t>止于茶园大道交叉口。沿便道新建155m-d400污水管网，收集学院污水后自南向北排入茶园大道现状污水系统</w:t>
      </w:r>
      <w:r>
        <w:rPr>
          <w:rFonts w:hint="eastAsia" w:ascii="仿宋" w:hAnsi="仿宋" w:eastAsia="仿宋" w:cs="仿宋"/>
          <w:color w:val="auto"/>
          <w:szCs w:val="28"/>
          <w:highlight w:val="none"/>
        </w:rPr>
        <w:t>。</w:t>
      </w:r>
      <w:r>
        <w:rPr>
          <w:rFonts w:hint="eastAsia" w:ascii="仿宋" w:hAnsi="仿宋" w:eastAsia="仿宋" w:cs="仿宋"/>
          <w:color w:val="auto"/>
          <w:szCs w:val="28"/>
          <w:highlight w:val="none"/>
          <w:lang w:val="en-US" w:eastAsia="zh-CN"/>
        </w:rPr>
        <w:t>并新建20m-d600雨水管，收集边沟雨水后排至茶园大道现状雨水系统</w:t>
      </w:r>
      <w:r>
        <w:rPr>
          <w:rFonts w:hint="eastAsia" w:ascii="仿宋" w:hAnsi="仿宋" w:eastAsia="仿宋" w:cs="仿宋"/>
          <w:color w:val="auto"/>
          <w:szCs w:val="28"/>
          <w:highlight w:val="none"/>
        </w:rPr>
        <w:t>。</w:t>
      </w:r>
    </w:p>
    <w:p w14:paraId="0D6CA20D">
      <w:pPr>
        <w:adjustRightInd w:val="0"/>
        <w:spacing w:line="560" w:lineRule="exact"/>
        <w:ind w:firstLine="560"/>
        <w:contextualSpacing/>
        <w:outlineLvl w:val="2"/>
        <w:rPr>
          <w:rFonts w:hint="eastAsia" w:ascii="仿宋" w:hAnsi="仿宋" w:eastAsia="仿宋" w:cs="仿宋"/>
          <w:color w:val="auto"/>
          <w:highlight w:val="none"/>
        </w:rPr>
      </w:pPr>
      <w:r>
        <w:rPr>
          <w:rFonts w:hint="eastAsia" w:ascii="仿宋" w:hAnsi="仿宋" w:eastAsia="仿宋" w:cs="仿宋"/>
          <w:color w:val="auto"/>
          <w:highlight w:val="none"/>
        </w:rPr>
        <w:t>3.7.2纵断面设计</w:t>
      </w:r>
    </w:p>
    <w:p w14:paraId="395381CD">
      <w:pPr>
        <w:ind w:firstLine="560"/>
        <w:jc w:val="left"/>
        <w:rPr>
          <w:rFonts w:hint="eastAsia" w:ascii="仿宋" w:hAnsi="仿宋" w:eastAsia="仿宋" w:cs="仿宋"/>
          <w:color w:val="auto"/>
          <w:highlight w:val="none"/>
        </w:rPr>
      </w:pPr>
      <w:r>
        <w:rPr>
          <w:rFonts w:hint="eastAsia" w:ascii="仿宋" w:hAnsi="仿宋" w:eastAsia="仿宋" w:cs="仿宋"/>
          <w:color w:val="auto"/>
          <w:szCs w:val="28"/>
          <w:highlight w:val="none"/>
        </w:rPr>
        <w:t>雨污管道的埋设深度，通常根据外部荷载、管材性能、管内介质温度及管道交叉等因素确定，本次设计非车行道下管顶覆土厚度不小于0.6m，车行道下管顶覆土厚度不小于0.7m。</w:t>
      </w:r>
    </w:p>
    <w:p w14:paraId="303A079D">
      <w:pPr>
        <w:adjustRightInd w:val="0"/>
        <w:ind w:firstLine="562"/>
        <w:contextualSpacing/>
        <w:outlineLvl w:val="2"/>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rPr>
        <w:t>3.7.4管网水力计算</w:t>
      </w:r>
    </w:p>
    <w:p w14:paraId="4F3AB2CA">
      <w:pPr>
        <w:ind w:firstLine="560"/>
        <w:contextualSpacing/>
        <w:rPr>
          <w:rFonts w:hint="eastAsia" w:ascii="仿宋" w:hAnsi="仿宋" w:eastAsia="仿宋" w:cs="仿宋"/>
          <w:color w:val="auto"/>
          <w:szCs w:val="28"/>
          <w:highlight w:val="none"/>
        </w:rPr>
      </w:pPr>
      <w:r>
        <w:rPr>
          <w:rFonts w:hint="eastAsia" w:ascii="仿宋" w:hAnsi="仿宋" w:eastAsia="仿宋" w:cs="仿宋"/>
          <w:color w:val="auto"/>
          <w:szCs w:val="28"/>
          <w:highlight w:val="none"/>
        </w:rPr>
        <w:t>管网水力计算如下，控制管段水力计算如下表所示。非控制管段实际过流能力均大于控制管段。污水管道起始段部分管段流速小，为不计算管段，污水管道流量较小，应加强日常维护。</w:t>
      </w:r>
    </w:p>
    <w:p w14:paraId="463BA6CD">
      <w:pPr>
        <w:pStyle w:val="69"/>
        <w:numPr>
          <w:ilvl w:val="8"/>
          <w:numId w:val="5"/>
        </w:numPr>
        <w:jc w:val="left"/>
        <w:rPr>
          <w:rFonts w:ascii="Times New Roman" w:hAnsi="Times New Roman" w:eastAsia="仿宋" w:cs="Times New Roman"/>
          <w:color w:val="auto"/>
          <w:highlight w:val="none"/>
        </w:rPr>
      </w:pPr>
      <w:r>
        <w:rPr>
          <w:rFonts w:ascii="Times New Roman" w:hAnsi="Times New Roman" w:eastAsia="仿宋" w:cs="Times New Roman"/>
          <w:color w:val="auto"/>
          <w:highlight w:val="none"/>
        </w:rPr>
        <w:t>设计污水管道水力计算表</w:t>
      </w:r>
    </w:p>
    <w:p w14:paraId="38435D43"/>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456"/>
        <w:gridCol w:w="1012"/>
        <w:gridCol w:w="750"/>
        <w:gridCol w:w="792"/>
        <w:gridCol w:w="1024"/>
        <w:gridCol w:w="1044"/>
        <w:gridCol w:w="658"/>
        <w:gridCol w:w="1257"/>
        <w:gridCol w:w="751"/>
        <w:gridCol w:w="793"/>
        <w:gridCol w:w="1025"/>
      </w:tblGrid>
      <w:tr w14:paraId="2BFA5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blHeader/>
        </w:trPr>
        <w:tc>
          <w:tcPr>
            <w:tcW w:w="448" w:type="pct"/>
            <w:vAlign w:val="center"/>
          </w:tcPr>
          <w:p w14:paraId="55BDB760">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计算管段</w:t>
            </w:r>
          </w:p>
        </w:tc>
        <w:tc>
          <w:tcPr>
            <w:tcW w:w="227" w:type="pct"/>
            <w:vAlign w:val="center"/>
          </w:tcPr>
          <w:p w14:paraId="6A020836">
            <w:pPr>
              <w:pStyle w:val="58"/>
              <w:rPr>
                <w:rFonts w:hint="eastAsia" w:ascii="Times New Roman" w:hAnsi="Times New Roman" w:eastAsia="仿宋" w:cs="Times New Roman"/>
                <w:color w:val="auto"/>
                <w:sz w:val="24"/>
                <w:highlight w:val="none"/>
                <w:lang w:val="en-US" w:eastAsia="zh-CN"/>
              </w:rPr>
            </w:pPr>
          </w:p>
        </w:tc>
        <w:tc>
          <w:tcPr>
            <w:tcW w:w="504" w:type="pct"/>
            <w:vAlign w:val="center"/>
          </w:tcPr>
          <w:p w14:paraId="6B0C7E46">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设计管道流量</w:t>
            </w:r>
          </w:p>
          <w:p w14:paraId="5B6C685A">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（L/s）</w:t>
            </w:r>
          </w:p>
        </w:tc>
        <w:tc>
          <w:tcPr>
            <w:tcW w:w="338" w:type="pct"/>
            <w:vAlign w:val="center"/>
          </w:tcPr>
          <w:p w14:paraId="205360D6">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设计管道管径</w:t>
            </w:r>
          </w:p>
          <w:p w14:paraId="3727058F">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(mm)</w:t>
            </w:r>
          </w:p>
        </w:tc>
        <w:tc>
          <w:tcPr>
            <w:tcW w:w="393" w:type="pct"/>
            <w:vAlign w:val="center"/>
          </w:tcPr>
          <w:p w14:paraId="40DC193E">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设计管道坡度</w:t>
            </w:r>
          </w:p>
        </w:tc>
        <w:tc>
          <w:tcPr>
            <w:tcW w:w="504" w:type="pct"/>
            <w:vAlign w:val="center"/>
          </w:tcPr>
          <w:p w14:paraId="3F2DA6BC">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设计管道过流能力（L/s）</w:t>
            </w:r>
          </w:p>
        </w:tc>
        <w:tc>
          <w:tcPr>
            <w:tcW w:w="504" w:type="pct"/>
            <w:vAlign w:val="center"/>
          </w:tcPr>
          <w:p w14:paraId="463008A1">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设计管道流速</w:t>
            </w:r>
          </w:p>
          <w:p w14:paraId="03D37F3F">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（m/s）</w:t>
            </w:r>
          </w:p>
        </w:tc>
        <w:tc>
          <w:tcPr>
            <w:tcW w:w="338" w:type="pct"/>
            <w:vAlign w:val="center"/>
          </w:tcPr>
          <w:p w14:paraId="6C0BB190">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设计管道充满度</w:t>
            </w:r>
          </w:p>
        </w:tc>
        <w:tc>
          <w:tcPr>
            <w:tcW w:w="504" w:type="pct"/>
            <w:vAlign w:val="center"/>
          </w:tcPr>
          <w:p w14:paraId="3C097AED">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下游现状管道编号</w:t>
            </w:r>
          </w:p>
        </w:tc>
        <w:tc>
          <w:tcPr>
            <w:tcW w:w="338" w:type="pct"/>
            <w:vAlign w:val="center"/>
          </w:tcPr>
          <w:p w14:paraId="4ADD0023">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下游现状管道管径(mm)</w:t>
            </w:r>
          </w:p>
        </w:tc>
        <w:tc>
          <w:tcPr>
            <w:tcW w:w="393" w:type="pct"/>
            <w:vAlign w:val="center"/>
          </w:tcPr>
          <w:p w14:paraId="517ADA40">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下游现状管道坡度</w:t>
            </w:r>
          </w:p>
        </w:tc>
        <w:tc>
          <w:tcPr>
            <w:tcW w:w="504" w:type="pct"/>
            <w:vAlign w:val="center"/>
          </w:tcPr>
          <w:p w14:paraId="20E4770C">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下游现状管道过流能力（L/s）</w:t>
            </w:r>
          </w:p>
        </w:tc>
      </w:tr>
      <w:tr w14:paraId="4697E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448" w:type="pct"/>
            <w:vMerge w:val="restart"/>
            <w:vAlign w:val="center"/>
          </w:tcPr>
          <w:p w14:paraId="0F902A14">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W-</w:t>
            </w:r>
            <w:r>
              <w:rPr>
                <w:rFonts w:hint="eastAsia" w:ascii="Times New Roman" w:eastAsia="仿宋" w:cs="Times New Roman"/>
                <w:color w:val="auto"/>
                <w:sz w:val="24"/>
                <w:highlight w:val="none"/>
                <w:lang w:val="en-US" w:eastAsia="zh-CN"/>
              </w:rPr>
              <w:t>7</w:t>
            </w:r>
            <w:r>
              <w:rPr>
                <w:rFonts w:hint="eastAsia" w:ascii="Times New Roman" w:hAnsi="Times New Roman" w:eastAsia="仿宋" w:cs="Times New Roman"/>
                <w:color w:val="auto"/>
                <w:sz w:val="24"/>
                <w:highlight w:val="none"/>
                <w:lang w:val="en-US" w:eastAsia="zh-CN"/>
              </w:rPr>
              <w:t>～W-</w:t>
            </w:r>
            <w:r>
              <w:rPr>
                <w:rFonts w:hint="eastAsia" w:ascii="Times New Roman" w:eastAsia="仿宋" w:cs="Times New Roman"/>
                <w:color w:val="auto"/>
                <w:sz w:val="24"/>
                <w:highlight w:val="none"/>
                <w:lang w:val="en-US" w:eastAsia="zh-CN"/>
              </w:rPr>
              <w:t>9</w:t>
            </w:r>
          </w:p>
        </w:tc>
        <w:tc>
          <w:tcPr>
            <w:tcW w:w="227" w:type="pct"/>
            <w:vAlign w:val="center"/>
          </w:tcPr>
          <w:p w14:paraId="1E6F7B74">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旱季</w:t>
            </w:r>
          </w:p>
        </w:tc>
        <w:tc>
          <w:tcPr>
            <w:tcW w:w="504" w:type="pct"/>
            <w:vAlign w:val="center"/>
          </w:tcPr>
          <w:p w14:paraId="3AC20A2E">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32.05</w:t>
            </w:r>
          </w:p>
        </w:tc>
        <w:tc>
          <w:tcPr>
            <w:tcW w:w="338" w:type="pct"/>
            <w:vAlign w:val="center"/>
          </w:tcPr>
          <w:p w14:paraId="001B647E">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400</w:t>
            </w:r>
          </w:p>
        </w:tc>
        <w:tc>
          <w:tcPr>
            <w:tcW w:w="393" w:type="pct"/>
            <w:vAlign w:val="center"/>
          </w:tcPr>
          <w:p w14:paraId="46FDB8D1">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0.03</w:t>
            </w:r>
            <w:r>
              <w:rPr>
                <w:rFonts w:hint="eastAsia" w:ascii="Times New Roman" w:eastAsia="仿宋" w:cs="Times New Roman"/>
                <w:color w:val="auto"/>
                <w:sz w:val="24"/>
                <w:highlight w:val="none"/>
                <w:lang w:val="en-US" w:eastAsia="zh-CN"/>
              </w:rPr>
              <w:t>5</w:t>
            </w:r>
          </w:p>
        </w:tc>
        <w:tc>
          <w:tcPr>
            <w:tcW w:w="504" w:type="pct"/>
            <w:vAlign w:val="center"/>
          </w:tcPr>
          <w:p w14:paraId="68B8DAED">
            <w:pPr>
              <w:pStyle w:val="58"/>
              <w:rPr>
                <w:rFonts w:hint="default"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3</w:t>
            </w:r>
            <w:r>
              <w:rPr>
                <w:rFonts w:hint="eastAsia" w:ascii="Times New Roman" w:eastAsia="仿宋" w:cs="Times New Roman"/>
                <w:color w:val="auto"/>
                <w:sz w:val="24"/>
                <w:highlight w:val="none"/>
                <w:lang w:val="en-US" w:eastAsia="zh-CN"/>
              </w:rPr>
              <w:t>5.80</w:t>
            </w:r>
          </w:p>
        </w:tc>
        <w:tc>
          <w:tcPr>
            <w:tcW w:w="504" w:type="pct"/>
            <w:vAlign w:val="center"/>
          </w:tcPr>
          <w:p w14:paraId="1570C00A">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2.</w:t>
            </w:r>
            <w:r>
              <w:rPr>
                <w:rFonts w:hint="eastAsia" w:ascii="Times New Roman" w:eastAsia="仿宋" w:cs="Times New Roman"/>
                <w:color w:val="auto"/>
                <w:sz w:val="24"/>
                <w:highlight w:val="none"/>
                <w:lang w:val="en-US" w:eastAsia="zh-CN"/>
              </w:rPr>
              <w:t>3</w:t>
            </w:r>
            <w:r>
              <w:rPr>
                <w:rFonts w:hint="eastAsia" w:ascii="Times New Roman" w:hAnsi="Times New Roman" w:eastAsia="仿宋" w:cs="Times New Roman"/>
                <w:color w:val="auto"/>
                <w:sz w:val="24"/>
                <w:highlight w:val="none"/>
                <w:lang w:val="en-US" w:eastAsia="zh-CN"/>
              </w:rPr>
              <w:t>3</w:t>
            </w:r>
          </w:p>
        </w:tc>
        <w:tc>
          <w:tcPr>
            <w:tcW w:w="338" w:type="pct"/>
            <w:vAlign w:val="center"/>
          </w:tcPr>
          <w:p w14:paraId="6608F444">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0.18</w:t>
            </w:r>
          </w:p>
        </w:tc>
        <w:tc>
          <w:tcPr>
            <w:tcW w:w="504" w:type="pct"/>
            <w:vAlign w:val="center"/>
          </w:tcPr>
          <w:p w14:paraId="0067F315">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WS3-WS2</w:t>
            </w:r>
          </w:p>
        </w:tc>
        <w:tc>
          <w:tcPr>
            <w:tcW w:w="338" w:type="pct"/>
            <w:vAlign w:val="center"/>
          </w:tcPr>
          <w:p w14:paraId="6DE8B3B5">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400</w:t>
            </w:r>
          </w:p>
        </w:tc>
        <w:tc>
          <w:tcPr>
            <w:tcW w:w="393" w:type="pct"/>
            <w:vAlign w:val="center"/>
          </w:tcPr>
          <w:p w14:paraId="780AD676">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0.014</w:t>
            </w:r>
          </w:p>
        </w:tc>
        <w:tc>
          <w:tcPr>
            <w:tcW w:w="504" w:type="pct"/>
            <w:vAlign w:val="center"/>
          </w:tcPr>
          <w:p w14:paraId="2C37586F">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320.33</w:t>
            </w:r>
          </w:p>
        </w:tc>
      </w:tr>
      <w:tr w14:paraId="59115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448" w:type="pct"/>
            <w:vMerge w:val="continue"/>
            <w:vAlign w:val="center"/>
          </w:tcPr>
          <w:p w14:paraId="6B1BEC21">
            <w:pPr>
              <w:pStyle w:val="58"/>
              <w:rPr>
                <w:rFonts w:hint="eastAsia" w:ascii="Times New Roman" w:hAnsi="Times New Roman" w:eastAsia="仿宋" w:cs="Times New Roman"/>
                <w:color w:val="auto"/>
                <w:sz w:val="24"/>
                <w:highlight w:val="none"/>
                <w:lang w:val="en-US" w:eastAsia="zh-CN"/>
              </w:rPr>
            </w:pPr>
          </w:p>
        </w:tc>
        <w:tc>
          <w:tcPr>
            <w:tcW w:w="227" w:type="pct"/>
            <w:vAlign w:val="center"/>
          </w:tcPr>
          <w:p w14:paraId="1B832D55">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雨季</w:t>
            </w:r>
          </w:p>
        </w:tc>
        <w:tc>
          <w:tcPr>
            <w:tcW w:w="504" w:type="pct"/>
            <w:vAlign w:val="center"/>
          </w:tcPr>
          <w:p w14:paraId="5F9F8B42">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128.20</w:t>
            </w:r>
          </w:p>
        </w:tc>
        <w:tc>
          <w:tcPr>
            <w:tcW w:w="338" w:type="pct"/>
            <w:vAlign w:val="center"/>
          </w:tcPr>
          <w:p w14:paraId="0946064D">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400</w:t>
            </w:r>
          </w:p>
        </w:tc>
        <w:tc>
          <w:tcPr>
            <w:tcW w:w="393" w:type="pct"/>
            <w:vAlign w:val="center"/>
          </w:tcPr>
          <w:p w14:paraId="3FFB80E9">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0.03</w:t>
            </w:r>
            <w:r>
              <w:rPr>
                <w:rFonts w:hint="eastAsia" w:ascii="Times New Roman" w:eastAsia="仿宋" w:cs="Times New Roman"/>
                <w:color w:val="auto"/>
                <w:sz w:val="24"/>
                <w:highlight w:val="none"/>
                <w:lang w:val="en-US" w:eastAsia="zh-CN"/>
              </w:rPr>
              <w:t>5</w:t>
            </w:r>
          </w:p>
        </w:tc>
        <w:tc>
          <w:tcPr>
            <w:tcW w:w="504" w:type="pct"/>
            <w:vAlign w:val="center"/>
          </w:tcPr>
          <w:p w14:paraId="2EDACAFD">
            <w:pPr>
              <w:pStyle w:val="58"/>
              <w:rPr>
                <w:rFonts w:hint="default"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1</w:t>
            </w:r>
            <w:r>
              <w:rPr>
                <w:rFonts w:hint="eastAsia" w:ascii="Times New Roman" w:eastAsia="仿宋" w:cs="Times New Roman"/>
                <w:color w:val="auto"/>
                <w:sz w:val="24"/>
                <w:highlight w:val="none"/>
                <w:lang w:val="en-US" w:eastAsia="zh-CN"/>
              </w:rPr>
              <w:t>40.42</w:t>
            </w:r>
          </w:p>
        </w:tc>
        <w:tc>
          <w:tcPr>
            <w:tcW w:w="504" w:type="pct"/>
            <w:vAlign w:val="center"/>
          </w:tcPr>
          <w:p w14:paraId="2F59D07F">
            <w:pPr>
              <w:pStyle w:val="58"/>
              <w:rPr>
                <w:rFonts w:hint="default"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3.</w:t>
            </w:r>
            <w:r>
              <w:rPr>
                <w:rFonts w:hint="eastAsia" w:ascii="Times New Roman" w:eastAsia="仿宋" w:cs="Times New Roman"/>
                <w:color w:val="auto"/>
                <w:sz w:val="24"/>
                <w:highlight w:val="none"/>
                <w:lang w:val="en-US" w:eastAsia="zh-CN"/>
              </w:rPr>
              <w:t>45</w:t>
            </w:r>
          </w:p>
        </w:tc>
        <w:tc>
          <w:tcPr>
            <w:tcW w:w="338" w:type="pct"/>
            <w:vAlign w:val="center"/>
          </w:tcPr>
          <w:p w14:paraId="2D1CFD67">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0.36</w:t>
            </w:r>
          </w:p>
        </w:tc>
        <w:tc>
          <w:tcPr>
            <w:tcW w:w="504" w:type="pct"/>
            <w:shd w:val="clear" w:color="auto" w:fill="auto"/>
            <w:vAlign w:val="center"/>
          </w:tcPr>
          <w:p w14:paraId="61B2CFC5">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WS3-WS2</w:t>
            </w:r>
          </w:p>
        </w:tc>
        <w:tc>
          <w:tcPr>
            <w:tcW w:w="338" w:type="pct"/>
            <w:shd w:val="clear" w:color="auto" w:fill="auto"/>
            <w:vAlign w:val="center"/>
          </w:tcPr>
          <w:p w14:paraId="1573CF8F">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400</w:t>
            </w:r>
          </w:p>
        </w:tc>
        <w:tc>
          <w:tcPr>
            <w:tcW w:w="393" w:type="pct"/>
            <w:shd w:val="clear" w:color="auto" w:fill="auto"/>
            <w:vAlign w:val="center"/>
          </w:tcPr>
          <w:p w14:paraId="7F49FE46">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0.014</w:t>
            </w:r>
          </w:p>
        </w:tc>
        <w:tc>
          <w:tcPr>
            <w:tcW w:w="504" w:type="pct"/>
            <w:shd w:val="clear" w:color="auto" w:fill="auto"/>
            <w:vAlign w:val="center"/>
          </w:tcPr>
          <w:p w14:paraId="4BA2DDF1">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320.33</w:t>
            </w:r>
          </w:p>
        </w:tc>
      </w:tr>
    </w:tbl>
    <w:p w14:paraId="15D1D5CC">
      <w:pPr>
        <w:pStyle w:val="69"/>
        <w:numPr>
          <w:ilvl w:val="8"/>
          <w:numId w:val="5"/>
        </w:numPr>
        <w:jc w:val="left"/>
        <w:rPr>
          <w:rFonts w:ascii="Times New Roman" w:hAnsi="Times New Roman" w:eastAsia="仿宋" w:cs="Times New Roman"/>
          <w:color w:val="auto"/>
          <w:highlight w:val="none"/>
        </w:rPr>
      </w:pPr>
      <w:r>
        <w:rPr>
          <w:rFonts w:ascii="Times New Roman" w:hAnsi="Times New Roman" w:eastAsia="仿宋" w:cs="Times New Roman"/>
          <w:color w:val="auto"/>
          <w:highlight w:val="none"/>
        </w:rPr>
        <w:t>设计雨水管道水力计算表</w:t>
      </w:r>
    </w:p>
    <w:tbl>
      <w:tblPr>
        <w:tblStyle w:val="23"/>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4"/>
        <w:gridCol w:w="1165"/>
        <w:gridCol w:w="1058"/>
        <w:gridCol w:w="742"/>
        <w:gridCol w:w="1200"/>
        <w:gridCol w:w="1200"/>
        <w:gridCol w:w="922"/>
        <w:gridCol w:w="924"/>
        <w:gridCol w:w="924"/>
        <w:gridCol w:w="1202"/>
      </w:tblGrid>
      <w:tr w14:paraId="47DCF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537" w:type="pct"/>
            <w:vAlign w:val="center"/>
          </w:tcPr>
          <w:p w14:paraId="2E5CC364">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管段</w:t>
            </w:r>
          </w:p>
        </w:tc>
        <w:tc>
          <w:tcPr>
            <w:tcW w:w="556" w:type="pct"/>
            <w:vAlign w:val="center"/>
          </w:tcPr>
          <w:p w14:paraId="26989AEF">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汇流面积（ha)</w:t>
            </w:r>
          </w:p>
        </w:tc>
        <w:tc>
          <w:tcPr>
            <w:tcW w:w="505" w:type="pct"/>
            <w:vAlign w:val="center"/>
          </w:tcPr>
          <w:p w14:paraId="22FEDC7A">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重现期（年）</w:t>
            </w:r>
          </w:p>
        </w:tc>
        <w:tc>
          <w:tcPr>
            <w:tcW w:w="354" w:type="pct"/>
            <w:vAlign w:val="center"/>
          </w:tcPr>
          <w:p w14:paraId="05A3901A">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径流</w:t>
            </w:r>
          </w:p>
          <w:p w14:paraId="70DEF091">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系数</w:t>
            </w:r>
          </w:p>
        </w:tc>
        <w:tc>
          <w:tcPr>
            <w:tcW w:w="573" w:type="pct"/>
            <w:vAlign w:val="center"/>
          </w:tcPr>
          <w:p w14:paraId="06EFF994">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设计流量</w:t>
            </w:r>
          </w:p>
          <w:p w14:paraId="0D1D3D27">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(L/s)</w:t>
            </w:r>
          </w:p>
        </w:tc>
        <w:tc>
          <w:tcPr>
            <w:tcW w:w="573" w:type="pct"/>
            <w:vAlign w:val="center"/>
          </w:tcPr>
          <w:p w14:paraId="71F2625E">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管径</w:t>
            </w:r>
          </w:p>
          <w:p w14:paraId="4734D35F">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(mm)</w:t>
            </w:r>
          </w:p>
        </w:tc>
        <w:tc>
          <w:tcPr>
            <w:tcW w:w="440" w:type="pct"/>
            <w:vAlign w:val="center"/>
          </w:tcPr>
          <w:p w14:paraId="7EEB3724">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粗糙</w:t>
            </w:r>
          </w:p>
          <w:p w14:paraId="3A74C9B7">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系数</w:t>
            </w:r>
          </w:p>
        </w:tc>
        <w:tc>
          <w:tcPr>
            <w:tcW w:w="441" w:type="pct"/>
            <w:vAlign w:val="center"/>
          </w:tcPr>
          <w:p w14:paraId="71EB2128">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坡度</w:t>
            </w:r>
          </w:p>
          <w:p w14:paraId="6E3573FA">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w:t>
            </w:r>
          </w:p>
        </w:tc>
        <w:tc>
          <w:tcPr>
            <w:tcW w:w="441" w:type="pct"/>
            <w:vAlign w:val="center"/>
          </w:tcPr>
          <w:p w14:paraId="2890812A">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流速</w:t>
            </w:r>
          </w:p>
          <w:p w14:paraId="6F32672F">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(m/s)</w:t>
            </w:r>
          </w:p>
        </w:tc>
        <w:tc>
          <w:tcPr>
            <w:tcW w:w="574" w:type="pct"/>
            <w:vAlign w:val="center"/>
          </w:tcPr>
          <w:p w14:paraId="24C9BA99">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过流能力</w:t>
            </w:r>
          </w:p>
          <w:p w14:paraId="643FDADB">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(L/s)</w:t>
            </w:r>
          </w:p>
        </w:tc>
      </w:tr>
      <w:tr w14:paraId="7E5AF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537" w:type="pct"/>
            <w:vAlign w:val="center"/>
          </w:tcPr>
          <w:p w14:paraId="5B0F0F28">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Y-</w:t>
            </w:r>
            <w:r>
              <w:rPr>
                <w:rFonts w:hint="eastAsia" w:ascii="Times New Roman" w:eastAsia="仿宋" w:cs="Times New Roman"/>
                <w:color w:val="auto"/>
                <w:sz w:val="24"/>
                <w:highlight w:val="none"/>
                <w:lang w:val="en-US" w:eastAsia="zh-CN"/>
              </w:rPr>
              <w:t>1</w:t>
            </w:r>
            <w:r>
              <w:rPr>
                <w:rFonts w:hint="eastAsia" w:ascii="Times New Roman" w:hAnsi="Times New Roman" w:eastAsia="仿宋" w:cs="Times New Roman"/>
                <w:color w:val="auto"/>
                <w:sz w:val="24"/>
                <w:highlight w:val="none"/>
                <w:lang w:val="en-US" w:eastAsia="zh-CN"/>
              </w:rPr>
              <w:t>～Y-</w:t>
            </w:r>
            <w:r>
              <w:rPr>
                <w:rFonts w:hint="eastAsia" w:ascii="Times New Roman" w:eastAsia="仿宋" w:cs="Times New Roman"/>
                <w:color w:val="auto"/>
                <w:sz w:val="24"/>
                <w:highlight w:val="none"/>
                <w:lang w:val="en-US" w:eastAsia="zh-CN"/>
              </w:rPr>
              <w:t>3</w:t>
            </w:r>
          </w:p>
        </w:tc>
        <w:tc>
          <w:tcPr>
            <w:tcW w:w="556" w:type="pct"/>
            <w:vAlign w:val="center"/>
          </w:tcPr>
          <w:p w14:paraId="25DECBFD">
            <w:pPr>
              <w:pStyle w:val="58"/>
              <w:rPr>
                <w:rFonts w:hint="default" w:ascii="Times New Roman" w:hAnsi="Times New Roman" w:eastAsia="仿宋" w:cs="Times New Roman"/>
                <w:color w:val="auto"/>
                <w:sz w:val="24"/>
                <w:highlight w:val="none"/>
                <w:lang w:val="en-US" w:eastAsia="zh-CN"/>
              </w:rPr>
            </w:pPr>
            <w:r>
              <w:rPr>
                <w:rFonts w:hint="eastAsia" w:ascii="Times New Roman" w:eastAsia="仿宋" w:cs="Times New Roman"/>
                <w:color w:val="auto"/>
                <w:sz w:val="24"/>
                <w:highlight w:val="none"/>
                <w:lang w:val="en-US" w:eastAsia="zh-CN"/>
              </w:rPr>
              <w:t>2.18</w:t>
            </w:r>
          </w:p>
        </w:tc>
        <w:tc>
          <w:tcPr>
            <w:tcW w:w="505" w:type="pct"/>
            <w:vAlign w:val="center"/>
          </w:tcPr>
          <w:p w14:paraId="4BF1B73D">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5</w:t>
            </w:r>
          </w:p>
        </w:tc>
        <w:tc>
          <w:tcPr>
            <w:tcW w:w="354" w:type="pct"/>
            <w:vAlign w:val="center"/>
          </w:tcPr>
          <w:p w14:paraId="659B384F">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0.7</w:t>
            </w:r>
          </w:p>
        </w:tc>
        <w:tc>
          <w:tcPr>
            <w:tcW w:w="573" w:type="pct"/>
            <w:vAlign w:val="center"/>
          </w:tcPr>
          <w:p w14:paraId="45AF45C7">
            <w:pPr>
              <w:pStyle w:val="58"/>
              <w:rPr>
                <w:rFonts w:hint="default" w:ascii="Times New Roman" w:hAnsi="Times New Roman" w:eastAsia="仿宋" w:cs="Times New Roman"/>
                <w:color w:val="auto"/>
                <w:sz w:val="24"/>
                <w:highlight w:val="none"/>
                <w:lang w:val="en-US" w:eastAsia="zh-CN"/>
              </w:rPr>
            </w:pPr>
            <w:r>
              <w:rPr>
                <w:rFonts w:hint="eastAsia" w:ascii="Times New Roman" w:eastAsia="仿宋" w:cs="Times New Roman"/>
                <w:color w:val="auto"/>
                <w:sz w:val="24"/>
                <w:highlight w:val="none"/>
                <w:lang w:val="en-US" w:eastAsia="zh-CN"/>
              </w:rPr>
              <w:t>699.22</w:t>
            </w:r>
          </w:p>
        </w:tc>
        <w:tc>
          <w:tcPr>
            <w:tcW w:w="573" w:type="pct"/>
            <w:vAlign w:val="center"/>
          </w:tcPr>
          <w:p w14:paraId="690217C5">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600</w:t>
            </w:r>
          </w:p>
        </w:tc>
        <w:tc>
          <w:tcPr>
            <w:tcW w:w="440" w:type="pct"/>
            <w:vAlign w:val="center"/>
          </w:tcPr>
          <w:p w14:paraId="73E9E8CC">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0.01</w:t>
            </w:r>
          </w:p>
        </w:tc>
        <w:tc>
          <w:tcPr>
            <w:tcW w:w="441" w:type="pct"/>
            <w:vAlign w:val="center"/>
          </w:tcPr>
          <w:p w14:paraId="504C2BC1">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0.0</w:t>
            </w:r>
            <w:r>
              <w:rPr>
                <w:rFonts w:hint="eastAsia" w:ascii="Times New Roman" w:eastAsia="仿宋" w:cs="Times New Roman"/>
                <w:color w:val="auto"/>
                <w:sz w:val="24"/>
                <w:highlight w:val="none"/>
                <w:lang w:val="en-US" w:eastAsia="zh-CN"/>
              </w:rPr>
              <w:t>2</w:t>
            </w:r>
          </w:p>
        </w:tc>
        <w:tc>
          <w:tcPr>
            <w:tcW w:w="441" w:type="pct"/>
            <w:vAlign w:val="center"/>
          </w:tcPr>
          <w:p w14:paraId="5083A2B6">
            <w:pPr>
              <w:pStyle w:val="58"/>
              <w:rPr>
                <w:rFonts w:hint="default" w:ascii="Times New Roman" w:hAnsi="Times New Roman" w:eastAsia="仿宋" w:cs="Times New Roman"/>
                <w:color w:val="auto"/>
                <w:sz w:val="24"/>
                <w:highlight w:val="none"/>
                <w:lang w:val="en-US" w:eastAsia="zh-CN"/>
              </w:rPr>
            </w:pPr>
            <w:r>
              <w:rPr>
                <w:rFonts w:hint="eastAsia" w:ascii="Times New Roman" w:eastAsia="仿宋" w:cs="Times New Roman"/>
                <w:color w:val="auto"/>
                <w:sz w:val="24"/>
                <w:highlight w:val="none"/>
                <w:lang w:val="en-US" w:eastAsia="zh-CN"/>
              </w:rPr>
              <w:t>3.99</w:t>
            </w:r>
          </w:p>
        </w:tc>
        <w:tc>
          <w:tcPr>
            <w:tcW w:w="574" w:type="pct"/>
            <w:vAlign w:val="center"/>
          </w:tcPr>
          <w:p w14:paraId="5AFEA430">
            <w:pPr>
              <w:pStyle w:val="58"/>
              <w:rPr>
                <w:rFonts w:hint="default" w:ascii="Times New Roman" w:hAnsi="Times New Roman" w:eastAsia="仿宋" w:cs="Times New Roman"/>
                <w:color w:val="auto"/>
                <w:sz w:val="24"/>
                <w:highlight w:val="none"/>
                <w:lang w:val="en-US" w:eastAsia="zh-CN"/>
              </w:rPr>
            </w:pPr>
            <w:r>
              <w:rPr>
                <w:rFonts w:hint="eastAsia" w:ascii="Times New Roman" w:eastAsia="仿宋" w:cs="Times New Roman"/>
                <w:color w:val="auto"/>
                <w:sz w:val="24"/>
                <w:highlight w:val="none"/>
                <w:lang w:val="en-US" w:eastAsia="zh-CN"/>
              </w:rPr>
              <w:t>1128.85</w:t>
            </w:r>
          </w:p>
        </w:tc>
      </w:tr>
    </w:tbl>
    <w:p w14:paraId="42FB6A39">
      <w:pPr>
        <w:pStyle w:val="69"/>
        <w:numPr>
          <w:ilvl w:val="8"/>
          <w:numId w:val="5"/>
        </w:numPr>
        <w:jc w:val="left"/>
        <w:rPr>
          <w:rFonts w:ascii="Times New Roman" w:hAnsi="Times New Roman" w:eastAsia="仿宋" w:cs="Times New Roman"/>
          <w:color w:val="auto"/>
          <w:highlight w:val="none"/>
        </w:rPr>
      </w:pPr>
      <w:r>
        <w:rPr>
          <w:rFonts w:ascii="Times New Roman" w:hAnsi="Times New Roman" w:eastAsia="仿宋" w:cs="Times New Roman"/>
          <w:color w:val="auto"/>
          <w:highlight w:val="none"/>
        </w:rPr>
        <w:t>现状污水管道水力计算校核表</w:t>
      </w:r>
    </w:p>
    <w:tbl>
      <w:tblPr>
        <w:tblStyle w:val="23"/>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3"/>
        <w:gridCol w:w="1269"/>
        <w:gridCol w:w="1189"/>
        <w:gridCol w:w="1189"/>
        <w:gridCol w:w="1210"/>
        <w:gridCol w:w="1078"/>
        <w:gridCol w:w="884"/>
        <w:gridCol w:w="1199"/>
      </w:tblGrid>
      <w:tr w14:paraId="78C96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blHeader/>
          <w:jc w:val="center"/>
        </w:trPr>
        <w:tc>
          <w:tcPr>
            <w:tcW w:w="1167" w:type="pct"/>
            <w:vMerge w:val="restart"/>
            <w:vAlign w:val="center"/>
          </w:tcPr>
          <w:p w14:paraId="698C8D87">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计算管段</w:t>
            </w:r>
          </w:p>
        </w:tc>
        <w:tc>
          <w:tcPr>
            <w:tcW w:w="606" w:type="pct"/>
            <w:vAlign w:val="center"/>
          </w:tcPr>
          <w:p w14:paraId="553CC5A6">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服务面积</w:t>
            </w:r>
          </w:p>
        </w:tc>
        <w:tc>
          <w:tcPr>
            <w:tcW w:w="568" w:type="pct"/>
            <w:vAlign w:val="center"/>
          </w:tcPr>
          <w:p w14:paraId="7A80F3E7">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校核流量</w:t>
            </w:r>
          </w:p>
        </w:tc>
        <w:tc>
          <w:tcPr>
            <w:tcW w:w="568" w:type="pct"/>
            <w:vAlign w:val="center"/>
          </w:tcPr>
          <w:p w14:paraId="27B4FAAE">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过流能力</w:t>
            </w:r>
          </w:p>
        </w:tc>
        <w:tc>
          <w:tcPr>
            <w:tcW w:w="578" w:type="pct"/>
            <w:vAlign w:val="center"/>
          </w:tcPr>
          <w:p w14:paraId="69B65942">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管径</w:t>
            </w:r>
          </w:p>
        </w:tc>
        <w:tc>
          <w:tcPr>
            <w:tcW w:w="515" w:type="pct"/>
            <w:vAlign w:val="center"/>
          </w:tcPr>
          <w:p w14:paraId="25A62952">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坡度</w:t>
            </w:r>
          </w:p>
        </w:tc>
        <w:tc>
          <w:tcPr>
            <w:tcW w:w="422" w:type="pct"/>
            <w:vMerge w:val="restart"/>
            <w:vAlign w:val="center"/>
          </w:tcPr>
          <w:p w14:paraId="23BD5ED8">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充满度</w:t>
            </w:r>
          </w:p>
        </w:tc>
        <w:tc>
          <w:tcPr>
            <w:tcW w:w="572" w:type="pct"/>
            <w:vAlign w:val="center"/>
          </w:tcPr>
          <w:p w14:paraId="49575609">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流速</w:t>
            </w:r>
          </w:p>
        </w:tc>
      </w:tr>
      <w:tr w14:paraId="1EFF9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blHeader/>
          <w:jc w:val="center"/>
        </w:trPr>
        <w:tc>
          <w:tcPr>
            <w:tcW w:w="1167" w:type="pct"/>
            <w:vMerge w:val="continue"/>
            <w:vAlign w:val="center"/>
          </w:tcPr>
          <w:p w14:paraId="6809BBDE">
            <w:pPr>
              <w:pStyle w:val="58"/>
              <w:rPr>
                <w:rFonts w:hint="eastAsia" w:ascii="Times New Roman" w:hAnsi="Times New Roman" w:eastAsia="仿宋" w:cs="Times New Roman"/>
                <w:color w:val="auto"/>
                <w:sz w:val="24"/>
                <w:highlight w:val="none"/>
                <w:lang w:val="en-US" w:eastAsia="zh-CN"/>
              </w:rPr>
            </w:pPr>
          </w:p>
        </w:tc>
        <w:tc>
          <w:tcPr>
            <w:tcW w:w="606" w:type="pct"/>
            <w:vAlign w:val="center"/>
          </w:tcPr>
          <w:p w14:paraId="4CC04C9A">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（hm2）</w:t>
            </w:r>
          </w:p>
        </w:tc>
        <w:tc>
          <w:tcPr>
            <w:tcW w:w="568" w:type="pct"/>
            <w:vAlign w:val="center"/>
          </w:tcPr>
          <w:p w14:paraId="79C6491E">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（l/s）</w:t>
            </w:r>
          </w:p>
        </w:tc>
        <w:tc>
          <w:tcPr>
            <w:tcW w:w="568" w:type="pct"/>
            <w:vAlign w:val="center"/>
          </w:tcPr>
          <w:p w14:paraId="05832DF9">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（l/s）</w:t>
            </w:r>
          </w:p>
        </w:tc>
        <w:tc>
          <w:tcPr>
            <w:tcW w:w="578" w:type="pct"/>
            <w:vAlign w:val="center"/>
          </w:tcPr>
          <w:p w14:paraId="7109234D">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（mm）</w:t>
            </w:r>
          </w:p>
        </w:tc>
        <w:tc>
          <w:tcPr>
            <w:tcW w:w="515" w:type="pct"/>
            <w:vAlign w:val="center"/>
          </w:tcPr>
          <w:p w14:paraId="63851434">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w:t>
            </w:r>
          </w:p>
        </w:tc>
        <w:tc>
          <w:tcPr>
            <w:tcW w:w="422" w:type="pct"/>
            <w:vMerge w:val="continue"/>
            <w:vAlign w:val="center"/>
          </w:tcPr>
          <w:p w14:paraId="2B9BE3B4">
            <w:pPr>
              <w:pStyle w:val="58"/>
              <w:rPr>
                <w:rFonts w:hint="eastAsia" w:ascii="Times New Roman" w:hAnsi="Times New Roman" w:eastAsia="仿宋" w:cs="Times New Roman"/>
                <w:color w:val="auto"/>
                <w:sz w:val="24"/>
                <w:highlight w:val="none"/>
                <w:lang w:val="en-US" w:eastAsia="zh-CN"/>
              </w:rPr>
            </w:pPr>
          </w:p>
        </w:tc>
        <w:tc>
          <w:tcPr>
            <w:tcW w:w="572" w:type="pct"/>
            <w:vAlign w:val="center"/>
          </w:tcPr>
          <w:p w14:paraId="4336AC08">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（m/s）</w:t>
            </w:r>
          </w:p>
        </w:tc>
      </w:tr>
      <w:tr w14:paraId="297AD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67" w:type="pct"/>
            <w:vAlign w:val="center"/>
          </w:tcPr>
          <w:p w14:paraId="46319838">
            <w:pPr>
              <w:pStyle w:val="58"/>
              <w:rPr>
                <w:rFonts w:hint="default"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WS</w:t>
            </w:r>
            <w:r>
              <w:rPr>
                <w:rFonts w:hint="eastAsia" w:ascii="Times New Roman" w:eastAsia="仿宋" w:cs="Times New Roman"/>
                <w:color w:val="auto"/>
                <w:sz w:val="24"/>
                <w:highlight w:val="none"/>
                <w:lang w:val="en-US" w:eastAsia="zh-CN"/>
              </w:rPr>
              <w:t>7</w:t>
            </w:r>
            <w:r>
              <w:rPr>
                <w:rFonts w:hint="eastAsia" w:ascii="Times New Roman" w:hAnsi="Times New Roman" w:eastAsia="仿宋" w:cs="Times New Roman"/>
                <w:color w:val="auto"/>
                <w:sz w:val="24"/>
                <w:highlight w:val="none"/>
                <w:lang w:val="en-US" w:eastAsia="zh-CN"/>
              </w:rPr>
              <w:t>~W</w:t>
            </w:r>
            <w:r>
              <w:rPr>
                <w:rFonts w:hint="eastAsia" w:ascii="Times New Roman" w:eastAsia="仿宋" w:cs="Times New Roman"/>
                <w:color w:val="auto"/>
                <w:sz w:val="24"/>
                <w:highlight w:val="none"/>
                <w:lang w:val="en-US" w:eastAsia="zh-CN"/>
              </w:rPr>
              <w:t>S8</w:t>
            </w:r>
          </w:p>
        </w:tc>
        <w:tc>
          <w:tcPr>
            <w:tcW w:w="606" w:type="pct"/>
            <w:vAlign w:val="center"/>
          </w:tcPr>
          <w:p w14:paraId="322F8F96">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25.00</w:t>
            </w:r>
          </w:p>
        </w:tc>
        <w:tc>
          <w:tcPr>
            <w:tcW w:w="568" w:type="pct"/>
            <w:vAlign w:val="center"/>
          </w:tcPr>
          <w:p w14:paraId="1554FB05">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50.61</w:t>
            </w:r>
          </w:p>
        </w:tc>
        <w:tc>
          <w:tcPr>
            <w:tcW w:w="568" w:type="pct"/>
            <w:vAlign w:val="center"/>
          </w:tcPr>
          <w:p w14:paraId="604FB7DE">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51.08</w:t>
            </w:r>
          </w:p>
        </w:tc>
        <w:tc>
          <w:tcPr>
            <w:tcW w:w="578" w:type="pct"/>
            <w:vAlign w:val="center"/>
          </w:tcPr>
          <w:p w14:paraId="3BCCEDA5">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400</w:t>
            </w:r>
          </w:p>
        </w:tc>
        <w:tc>
          <w:tcPr>
            <w:tcW w:w="515" w:type="pct"/>
            <w:vAlign w:val="center"/>
          </w:tcPr>
          <w:p w14:paraId="322D5C76">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0.14</w:t>
            </w:r>
          </w:p>
        </w:tc>
        <w:tc>
          <w:tcPr>
            <w:tcW w:w="422" w:type="pct"/>
            <w:vAlign w:val="center"/>
          </w:tcPr>
          <w:p w14:paraId="23EA6A27">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0.27</w:t>
            </w:r>
          </w:p>
        </w:tc>
        <w:tc>
          <w:tcPr>
            <w:tcW w:w="572" w:type="pct"/>
            <w:vAlign w:val="center"/>
          </w:tcPr>
          <w:p w14:paraId="7F448703">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1.87</w:t>
            </w:r>
          </w:p>
        </w:tc>
      </w:tr>
    </w:tbl>
    <w:p w14:paraId="7D505CFE">
      <w:pPr>
        <w:pStyle w:val="69"/>
        <w:numPr>
          <w:ilvl w:val="8"/>
          <w:numId w:val="5"/>
        </w:numPr>
        <w:jc w:val="left"/>
        <w:rPr>
          <w:rFonts w:ascii="Times New Roman" w:hAnsi="Times New Roman" w:eastAsia="仿宋" w:cs="Times New Roman"/>
          <w:color w:val="auto"/>
          <w:highlight w:val="none"/>
        </w:rPr>
      </w:pPr>
      <w:r>
        <w:rPr>
          <w:rFonts w:ascii="Times New Roman" w:hAnsi="Times New Roman" w:eastAsia="仿宋" w:cs="Times New Roman"/>
          <w:color w:val="auto"/>
          <w:highlight w:val="none"/>
        </w:rPr>
        <w:t>现状管雨水道水力计算校核表</w:t>
      </w:r>
    </w:p>
    <w:tbl>
      <w:tblPr>
        <w:tblStyle w:val="23"/>
        <w:tblW w:w="97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1026"/>
        <w:gridCol w:w="877"/>
        <w:gridCol w:w="829"/>
        <w:gridCol w:w="1181"/>
        <w:gridCol w:w="865"/>
        <w:gridCol w:w="762"/>
        <w:gridCol w:w="777"/>
        <w:gridCol w:w="865"/>
        <w:gridCol w:w="1195"/>
      </w:tblGrid>
      <w:tr w14:paraId="00CAF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380" w:type="dxa"/>
            <w:vAlign w:val="center"/>
          </w:tcPr>
          <w:p w14:paraId="3F9FBF0A">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管段</w:t>
            </w:r>
          </w:p>
        </w:tc>
        <w:tc>
          <w:tcPr>
            <w:tcW w:w="1026" w:type="dxa"/>
            <w:vAlign w:val="center"/>
          </w:tcPr>
          <w:p w14:paraId="3A55C781">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汇流面积</w:t>
            </w:r>
          </w:p>
          <w:p w14:paraId="5CFA50A5">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(ha)</w:t>
            </w:r>
          </w:p>
        </w:tc>
        <w:tc>
          <w:tcPr>
            <w:tcW w:w="877" w:type="dxa"/>
            <w:vAlign w:val="center"/>
          </w:tcPr>
          <w:p w14:paraId="08479941">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重现期（年）</w:t>
            </w:r>
          </w:p>
        </w:tc>
        <w:tc>
          <w:tcPr>
            <w:tcW w:w="829" w:type="dxa"/>
            <w:vAlign w:val="center"/>
          </w:tcPr>
          <w:p w14:paraId="5EA544B1">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径流</w:t>
            </w:r>
          </w:p>
          <w:p w14:paraId="6D9627EE">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系数</w:t>
            </w:r>
          </w:p>
        </w:tc>
        <w:tc>
          <w:tcPr>
            <w:tcW w:w="1181" w:type="dxa"/>
            <w:vAlign w:val="center"/>
          </w:tcPr>
          <w:p w14:paraId="53B9D894">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校核流量</w:t>
            </w:r>
          </w:p>
          <w:p w14:paraId="18665902">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(L/s)</w:t>
            </w:r>
          </w:p>
        </w:tc>
        <w:tc>
          <w:tcPr>
            <w:tcW w:w="865" w:type="dxa"/>
            <w:vAlign w:val="center"/>
          </w:tcPr>
          <w:p w14:paraId="721F4377">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管径</w:t>
            </w:r>
          </w:p>
          <w:p w14:paraId="0E7E9906">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(mm)</w:t>
            </w:r>
          </w:p>
        </w:tc>
        <w:tc>
          <w:tcPr>
            <w:tcW w:w="762" w:type="dxa"/>
            <w:vAlign w:val="center"/>
          </w:tcPr>
          <w:p w14:paraId="54F34624">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粗糙</w:t>
            </w:r>
          </w:p>
          <w:p w14:paraId="3F9DD2F1">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系数</w:t>
            </w:r>
          </w:p>
        </w:tc>
        <w:tc>
          <w:tcPr>
            <w:tcW w:w="777" w:type="dxa"/>
            <w:vAlign w:val="center"/>
          </w:tcPr>
          <w:p w14:paraId="04B641B3">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坡度</w:t>
            </w:r>
          </w:p>
          <w:p w14:paraId="7ADF9B20">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w:t>
            </w:r>
          </w:p>
        </w:tc>
        <w:tc>
          <w:tcPr>
            <w:tcW w:w="865" w:type="dxa"/>
            <w:vAlign w:val="center"/>
          </w:tcPr>
          <w:p w14:paraId="617BABA8">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流速</w:t>
            </w:r>
          </w:p>
          <w:p w14:paraId="3D825F8A">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(m/s)</w:t>
            </w:r>
          </w:p>
        </w:tc>
        <w:tc>
          <w:tcPr>
            <w:tcW w:w="1195" w:type="dxa"/>
            <w:vAlign w:val="center"/>
          </w:tcPr>
          <w:p w14:paraId="2CE4BEEA">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过流能力</w:t>
            </w:r>
          </w:p>
          <w:p w14:paraId="4560520F">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(L/s)</w:t>
            </w:r>
          </w:p>
        </w:tc>
      </w:tr>
      <w:tr w14:paraId="21D9A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380" w:type="dxa"/>
            <w:vAlign w:val="center"/>
          </w:tcPr>
          <w:p w14:paraId="6D3EFA23">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YS</w:t>
            </w:r>
            <w:r>
              <w:rPr>
                <w:rFonts w:hint="eastAsia" w:ascii="Times New Roman" w:eastAsia="仿宋" w:cs="Times New Roman"/>
                <w:color w:val="auto"/>
                <w:sz w:val="24"/>
                <w:highlight w:val="none"/>
                <w:lang w:val="en-US" w:eastAsia="zh-CN"/>
              </w:rPr>
              <w:t>7</w:t>
            </w:r>
            <w:r>
              <w:rPr>
                <w:rFonts w:hint="eastAsia" w:ascii="Times New Roman" w:hAnsi="Times New Roman" w:eastAsia="仿宋" w:cs="Times New Roman"/>
                <w:color w:val="auto"/>
                <w:sz w:val="24"/>
                <w:highlight w:val="none"/>
                <w:lang w:val="en-US" w:eastAsia="zh-CN"/>
              </w:rPr>
              <w:t>~YS</w:t>
            </w:r>
            <w:r>
              <w:rPr>
                <w:rFonts w:hint="eastAsia" w:ascii="Times New Roman" w:eastAsia="仿宋" w:cs="Times New Roman"/>
                <w:color w:val="auto"/>
                <w:sz w:val="24"/>
                <w:highlight w:val="none"/>
                <w:lang w:val="en-US" w:eastAsia="zh-CN"/>
              </w:rPr>
              <w:t>8</w:t>
            </w:r>
          </w:p>
        </w:tc>
        <w:tc>
          <w:tcPr>
            <w:tcW w:w="1026" w:type="dxa"/>
            <w:vAlign w:val="center"/>
          </w:tcPr>
          <w:p w14:paraId="30F58717">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3.05</w:t>
            </w:r>
          </w:p>
        </w:tc>
        <w:tc>
          <w:tcPr>
            <w:tcW w:w="877" w:type="dxa"/>
            <w:vAlign w:val="center"/>
          </w:tcPr>
          <w:p w14:paraId="0B2830AE">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5</w:t>
            </w:r>
          </w:p>
        </w:tc>
        <w:tc>
          <w:tcPr>
            <w:tcW w:w="829" w:type="dxa"/>
            <w:vAlign w:val="center"/>
          </w:tcPr>
          <w:p w14:paraId="0856C1C0">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0.7</w:t>
            </w:r>
          </w:p>
        </w:tc>
        <w:tc>
          <w:tcPr>
            <w:tcW w:w="1181" w:type="dxa"/>
            <w:vAlign w:val="center"/>
          </w:tcPr>
          <w:p w14:paraId="018B6BA2">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978.27</w:t>
            </w:r>
          </w:p>
        </w:tc>
        <w:tc>
          <w:tcPr>
            <w:tcW w:w="865" w:type="dxa"/>
            <w:vAlign w:val="center"/>
          </w:tcPr>
          <w:p w14:paraId="63EE0360">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600</w:t>
            </w:r>
          </w:p>
        </w:tc>
        <w:tc>
          <w:tcPr>
            <w:tcW w:w="762" w:type="dxa"/>
            <w:vAlign w:val="center"/>
          </w:tcPr>
          <w:p w14:paraId="383ED9DC">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0.01</w:t>
            </w:r>
          </w:p>
        </w:tc>
        <w:tc>
          <w:tcPr>
            <w:tcW w:w="777" w:type="dxa"/>
            <w:vAlign w:val="center"/>
          </w:tcPr>
          <w:p w14:paraId="113E3485">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0.025</w:t>
            </w:r>
          </w:p>
        </w:tc>
        <w:tc>
          <w:tcPr>
            <w:tcW w:w="865" w:type="dxa"/>
            <w:vAlign w:val="center"/>
          </w:tcPr>
          <w:p w14:paraId="4B6F48E4">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4.46</w:t>
            </w:r>
          </w:p>
        </w:tc>
        <w:tc>
          <w:tcPr>
            <w:tcW w:w="1195" w:type="dxa"/>
            <w:vAlign w:val="center"/>
          </w:tcPr>
          <w:p w14:paraId="1905D6D2">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1262.08</w:t>
            </w:r>
          </w:p>
        </w:tc>
      </w:tr>
    </w:tbl>
    <w:p w14:paraId="0C46A911">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现状雨水口及雨水口连接管的过流能力校核计算：</w:t>
      </w:r>
    </w:p>
    <w:p w14:paraId="66F0A4DD">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本次取低洼处雨水口及雨水口连接管进行复核，最不利处汇流面积250m2，综合径流系数0.80，5年重现期时流量为9.16L/s，100年内涝时流量为15.60L/s。现状主要采用窄型双箅雨水口，雨水口连接管为国标Ⅱ级钢筋混凝土管，坡度不小于1%，经复核现状单个窄型双箅雨水口泄流能力为25L/s，雨水口连接管过流能力不小于89.80L/s，因此满足《城乡排水工程项目规范》（GB55027-2022）中3.3.5及城镇内涝防治技术规范》（GB51222-2017）中5.2.2要求。</w:t>
      </w:r>
    </w:p>
    <w:p w14:paraId="11C51B70">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3.8防涝论证</w:t>
      </w:r>
    </w:p>
    <w:p w14:paraId="67111B9B">
      <w:pPr>
        <w:adjustRightInd w:val="0"/>
        <w:spacing w:line="560" w:lineRule="exact"/>
        <w:ind w:firstLine="560"/>
        <w:contextualSpacing/>
        <w:outlineLvl w:val="2"/>
        <w:rPr>
          <w:rFonts w:hint="eastAsia" w:ascii="仿宋" w:hAnsi="仿宋" w:eastAsia="仿宋" w:cs="仿宋"/>
          <w:bCs/>
          <w:color w:val="auto"/>
          <w:szCs w:val="28"/>
          <w:highlight w:val="none"/>
        </w:rPr>
      </w:pPr>
      <w:r>
        <w:rPr>
          <w:rFonts w:hint="eastAsia" w:ascii="仿宋" w:hAnsi="仿宋" w:eastAsia="仿宋" w:cs="仿宋"/>
          <w:bCs/>
          <w:color w:val="auto"/>
          <w:szCs w:val="28"/>
          <w:highlight w:val="none"/>
        </w:rPr>
        <w:t>3.8.1雨水管道内涝防治设计校核</w:t>
      </w:r>
    </w:p>
    <w:p w14:paraId="7359F3E2">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根据《城镇内涝防治技术规范》(GB51222-2017)和《山地城市内涝防治技术标准》（DBJ50/T-427-2022）要求，对本工程雨水排放口处管道进行内涝校核设计。根据《山地城市内涝防治技术标准》表4.1.2中心城区内涝防治设计重现期取100年。</w:t>
      </w:r>
    </w:p>
    <w:p w14:paraId="03AE378C">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本次</w:t>
      </w:r>
      <w:r>
        <w:rPr>
          <w:rFonts w:hint="eastAsia" w:ascii="仿宋" w:hAnsi="仿宋" w:eastAsia="仿宋" w:cs="仿宋"/>
          <w:color w:val="auto"/>
          <w:szCs w:val="28"/>
          <w:highlight w:val="none"/>
          <w:lang w:val="en-US" w:eastAsia="zh-CN"/>
        </w:rPr>
        <w:t>设计</w:t>
      </w:r>
      <w:r>
        <w:rPr>
          <w:rFonts w:hint="eastAsia" w:ascii="仿宋" w:hAnsi="仿宋" w:eastAsia="仿宋" w:cs="仿宋"/>
          <w:color w:val="auto"/>
          <w:szCs w:val="28"/>
          <w:highlight w:val="none"/>
        </w:rPr>
        <w:t>范围内存在低洼易涝点1处，即Y-</w:t>
      </w:r>
      <w:r>
        <w:rPr>
          <w:rFonts w:hint="eastAsia" w:ascii="仿宋" w:hAnsi="仿宋" w:eastAsia="仿宋" w:cs="仿宋"/>
          <w:color w:val="auto"/>
          <w:szCs w:val="28"/>
          <w:highlight w:val="none"/>
          <w:lang w:val="en-US" w:eastAsia="zh-CN"/>
        </w:rPr>
        <w:t>3</w:t>
      </w:r>
      <w:r>
        <w:rPr>
          <w:rFonts w:hint="eastAsia" w:ascii="仿宋" w:hAnsi="仿宋" w:eastAsia="仿宋" w:cs="仿宋"/>
          <w:color w:val="auto"/>
          <w:szCs w:val="28"/>
          <w:highlight w:val="none"/>
        </w:rPr>
        <w:t>。本工程汇水面积小于2平方公里，考虑采用手工计算的方法进行内涝校核。进行内涝防治设计重现期校核时，管道系统一般处于超载状态，其通水能力应进行压力流校核。根据《城镇内涝防治技术规范》(GB51222-2017)附录B.0.6要求步骤进行校核。</w:t>
      </w:r>
    </w:p>
    <w:p w14:paraId="5258835B">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（1）按《城乡排水工程项目规范》第3.4.2条，选定本项目的内涝防治设计重现期。本项目位于重庆市主城区，按超大城市考虑内涝防治设计重现期取100年。</w:t>
      </w:r>
    </w:p>
    <w:p w14:paraId="51278AB2">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（2）道路积水深度按15cm计。城市道路路拱曲线一般采用直线型路拱，其边沟形式为单一横坡断面（三角沟形）。</w:t>
      </w:r>
    </w:p>
    <w:p w14:paraId="69D1C003">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路面积水宽度是指路缘石到道路中心方向的积水宽度。《城市道路工程设计规范》规定，沥青混凝土路面的路拱横坡度Sx一般为1.0%~2.0%。本次内涝点现状道路横坡为1.5%，道路为双向四车道，道路单侧积水宽度为4.0m（局部路段加宽）。</w:t>
      </w:r>
    </w:p>
    <w:p w14:paraId="38175BDB">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drawing>
          <wp:inline distT="0" distB="0" distL="114300" distR="114300">
            <wp:extent cx="6021705" cy="1610995"/>
            <wp:effectExtent l="0" t="0" r="17145" b="8255"/>
            <wp:docPr id="12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7"/>
                    <pic:cNvPicPr>
                      <a:picLocks noChangeAspect="1"/>
                    </pic:cNvPicPr>
                  </pic:nvPicPr>
                  <pic:blipFill>
                    <a:blip r:embed="rId10"/>
                    <a:stretch>
                      <a:fillRect/>
                    </a:stretch>
                  </pic:blipFill>
                  <pic:spPr>
                    <a:xfrm>
                      <a:off x="0" y="0"/>
                      <a:ext cx="6021705" cy="1610995"/>
                    </a:xfrm>
                    <a:prstGeom prst="rect">
                      <a:avLst/>
                    </a:prstGeom>
                    <a:noFill/>
                    <a:ln>
                      <a:noFill/>
                    </a:ln>
                  </pic:spPr>
                </pic:pic>
              </a:graphicData>
            </a:graphic>
          </wp:inline>
        </w:drawing>
      </w:r>
    </w:p>
    <w:p w14:paraId="3BBA6452">
      <w:pPr>
        <w:ind w:firstLine="56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路面积水示意图</w:t>
      </w:r>
    </w:p>
    <w:p w14:paraId="4ED174CB">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计算道路表面纵向通行能力时的流量：</w:t>
      </w:r>
    </w:p>
    <w:p w14:paraId="73370F95">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object>
          <v:shape id="_x0000_i1025" o:spt="75" type="#_x0000_t75" style="height:24.75pt;width:57.75pt;" o:ole="t" filled="f" o:preferrelative="t" stroked="f" coordsize="21600,21600">
            <v:path/>
            <v:fill on="f" focussize="0,0"/>
            <v:stroke on="f" joinstyle="miter"/>
            <v:imagedata r:id="rId12" o:title=""/>
            <o:lock v:ext="edit" aspectratio="t"/>
            <w10:wrap type="none"/>
            <w10:anchorlock/>
          </v:shape>
          <o:OLEObject Type="Embed" ProgID="Equation.DSMT4" ShapeID="_x0000_i1025" DrawAspect="Content" ObjectID="_1468075725" r:id="rId11">
            <o:LockedField>false</o:LockedField>
          </o:OLEObject>
        </w:object>
      </w:r>
    </w:p>
    <w:p w14:paraId="6A7B0355">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object>
          <v:shape id="_x0000_i1026" o:spt="75" type="#_x0000_t75" style="height:41.25pt;width:69pt;" o:ole="t" filled="f" o:preferrelative="t" stroked="f" coordsize="21600,21600">
            <v:path/>
            <v:fill on="f" focussize="0,0"/>
            <v:stroke on="f" joinstyle="miter"/>
            <v:imagedata r:id="rId14" o:title=""/>
            <o:lock v:ext="edit" aspectratio="t"/>
            <w10:wrap type="none"/>
            <w10:anchorlock/>
          </v:shape>
          <o:OLEObject Type="Embed" ProgID="Equation.DSMT4" ShapeID="_x0000_i1026" DrawAspect="Content" ObjectID="_1468075726" r:id="rId13">
            <o:LockedField>false</o:LockedField>
          </o:OLEObject>
        </w:object>
      </w:r>
    </w:p>
    <w:p w14:paraId="549ECE45">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式中：QS:道路纵向通行流量(m3/s)；</w:t>
      </w:r>
    </w:p>
    <w:p w14:paraId="3C448E50">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n：路面糙率0.015                       R：水力半径</w:t>
      </w:r>
    </w:p>
    <w:p w14:paraId="6355C252">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 xml:space="preserve">I：道路末端纵坡                        </w:t>
      </w:r>
      <w:r>
        <w:rPr>
          <w:rFonts w:hint="eastAsia" w:ascii="仿宋" w:hAnsi="仿宋" w:eastAsia="仿宋" w:cs="仿宋"/>
          <w:color w:val="auto"/>
          <w:szCs w:val="28"/>
          <w:highlight w:val="none"/>
          <w:lang w:val="en-US" w:eastAsia="zh-CN"/>
        </w:rPr>
        <w:t xml:space="preserve"> </w:t>
      </w:r>
      <w:r>
        <w:rPr>
          <w:rFonts w:hint="eastAsia" w:ascii="仿宋" w:hAnsi="仿宋" w:eastAsia="仿宋" w:cs="仿宋"/>
          <w:color w:val="auto"/>
          <w:szCs w:val="28"/>
          <w:highlight w:val="none"/>
        </w:rPr>
        <w:t>A：路面过水断面有效面积（m2）</w:t>
      </w:r>
    </w:p>
    <w:p w14:paraId="77A34B22">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根据上述公式计算出内涝标准下的道路表面纵向通行能力QS如下表：</w:t>
      </w:r>
    </w:p>
    <w:p w14:paraId="706A01BF">
      <w:pPr>
        <w:ind w:left="0" w:leftChars="0"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内涝标准下道路表面纵向通行能力计算表</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6"/>
        <w:gridCol w:w="1729"/>
        <w:gridCol w:w="776"/>
        <w:gridCol w:w="1073"/>
        <w:gridCol w:w="916"/>
        <w:gridCol w:w="1230"/>
        <w:gridCol w:w="1213"/>
        <w:gridCol w:w="2196"/>
      </w:tblGrid>
      <w:tr w14:paraId="6C7A4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0" w:type="auto"/>
            <w:noWrap/>
            <w:vAlign w:val="center"/>
          </w:tcPr>
          <w:p w14:paraId="5E41F9B2">
            <w:pPr>
              <w:spacing w:line="240" w:lineRule="auto"/>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管道位置</w:t>
            </w:r>
          </w:p>
        </w:tc>
        <w:tc>
          <w:tcPr>
            <w:tcW w:w="0" w:type="auto"/>
            <w:vAlign w:val="center"/>
          </w:tcPr>
          <w:p w14:paraId="4CB1B51C">
            <w:pPr>
              <w:spacing w:line="240" w:lineRule="auto"/>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过水断面积（m3）</w:t>
            </w:r>
          </w:p>
        </w:tc>
        <w:tc>
          <w:tcPr>
            <w:tcW w:w="0" w:type="auto"/>
            <w:vAlign w:val="center"/>
          </w:tcPr>
          <w:p w14:paraId="61C472FD">
            <w:pPr>
              <w:spacing w:line="240" w:lineRule="auto"/>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湿周</w:t>
            </w:r>
          </w:p>
        </w:tc>
        <w:tc>
          <w:tcPr>
            <w:tcW w:w="0" w:type="auto"/>
            <w:vAlign w:val="center"/>
          </w:tcPr>
          <w:p w14:paraId="60B6BA28">
            <w:pPr>
              <w:spacing w:line="240" w:lineRule="auto"/>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水力半径</w:t>
            </w:r>
          </w:p>
        </w:tc>
        <w:tc>
          <w:tcPr>
            <w:tcW w:w="0" w:type="auto"/>
            <w:vAlign w:val="center"/>
          </w:tcPr>
          <w:p w14:paraId="18C5A09D">
            <w:pPr>
              <w:spacing w:line="240" w:lineRule="auto"/>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糙率</w:t>
            </w:r>
          </w:p>
        </w:tc>
        <w:tc>
          <w:tcPr>
            <w:tcW w:w="0" w:type="auto"/>
            <w:vAlign w:val="center"/>
          </w:tcPr>
          <w:p w14:paraId="4F2A5999">
            <w:pPr>
              <w:spacing w:line="240" w:lineRule="auto"/>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道路坡度(%)</w:t>
            </w:r>
          </w:p>
        </w:tc>
        <w:tc>
          <w:tcPr>
            <w:tcW w:w="0" w:type="auto"/>
            <w:vAlign w:val="center"/>
          </w:tcPr>
          <w:p w14:paraId="094F8973">
            <w:pPr>
              <w:spacing w:line="240" w:lineRule="auto"/>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流速(m/s)</w:t>
            </w:r>
          </w:p>
        </w:tc>
        <w:tc>
          <w:tcPr>
            <w:tcW w:w="0" w:type="auto"/>
            <w:vAlign w:val="center"/>
          </w:tcPr>
          <w:p w14:paraId="6300B061">
            <w:pPr>
              <w:spacing w:line="240" w:lineRule="auto"/>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路面过流流量Qs(m3/s)</w:t>
            </w:r>
          </w:p>
        </w:tc>
      </w:tr>
      <w:tr w14:paraId="2F4B1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0" w:type="auto"/>
            <w:noWrap/>
            <w:vAlign w:val="center"/>
          </w:tcPr>
          <w:p w14:paraId="240FAE13">
            <w:pPr>
              <w:spacing w:line="240" w:lineRule="auto"/>
              <w:ind w:firstLine="0" w:firstLineChars="0"/>
              <w:jc w:val="center"/>
              <w:rPr>
                <w:rFonts w:hint="eastAsia" w:ascii="仿宋" w:hAnsi="仿宋" w:eastAsia="仿宋" w:cs="仿宋"/>
                <w:color w:val="auto"/>
                <w:szCs w:val="28"/>
                <w:highlight w:val="none"/>
                <w:lang w:eastAsia="zh-CN"/>
              </w:rPr>
            </w:pPr>
            <w:r>
              <w:rPr>
                <w:rFonts w:hint="eastAsia" w:ascii="仿宋" w:hAnsi="仿宋" w:eastAsia="仿宋" w:cs="仿宋"/>
                <w:color w:val="auto"/>
                <w:szCs w:val="28"/>
                <w:highlight w:val="none"/>
              </w:rPr>
              <w:t>Y-</w:t>
            </w:r>
            <w:r>
              <w:rPr>
                <w:rFonts w:hint="eastAsia" w:ascii="仿宋" w:hAnsi="仿宋" w:eastAsia="仿宋" w:cs="仿宋"/>
                <w:color w:val="auto"/>
                <w:szCs w:val="28"/>
                <w:highlight w:val="none"/>
                <w:lang w:val="en-US" w:eastAsia="zh-CN"/>
              </w:rPr>
              <w:t>3</w:t>
            </w:r>
          </w:p>
        </w:tc>
        <w:tc>
          <w:tcPr>
            <w:tcW w:w="1729" w:type="dxa"/>
            <w:noWrap/>
            <w:vAlign w:val="center"/>
          </w:tcPr>
          <w:p w14:paraId="3E358636">
            <w:pPr>
              <w:spacing w:line="240" w:lineRule="auto"/>
              <w:ind w:firstLine="0" w:firstLineChars="0"/>
              <w:jc w:val="center"/>
              <w:rPr>
                <w:rFonts w:hint="eastAsia" w:ascii="仿宋" w:hAnsi="仿宋" w:eastAsia="仿宋" w:cs="仿宋"/>
                <w:color w:val="auto"/>
                <w:szCs w:val="28"/>
                <w:highlight w:val="none"/>
              </w:rPr>
            </w:pPr>
            <w:r>
              <w:rPr>
                <w:rFonts w:hint="default" w:ascii="仿宋" w:hAnsi="仿宋" w:eastAsia="仿宋" w:cs="仿宋"/>
                <w:color w:val="auto"/>
                <w:szCs w:val="28"/>
                <w:highlight w:val="none"/>
              </w:rPr>
              <w:t>2.</w:t>
            </w:r>
            <w:r>
              <w:rPr>
                <w:rFonts w:hint="default" w:ascii="仿宋" w:hAnsi="仿宋" w:eastAsia="仿宋" w:cs="仿宋"/>
                <w:color w:val="auto"/>
                <w:szCs w:val="28"/>
                <w:highlight w:val="none"/>
                <w:lang w:val="en-US" w:eastAsia="zh-CN"/>
              </w:rPr>
              <w:t>58</w:t>
            </w:r>
          </w:p>
        </w:tc>
        <w:tc>
          <w:tcPr>
            <w:tcW w:w="776" w:type="dxa"/>
            <w:noWrap/>
            <w:vAlign w:val="center"/>
          </w:tcPr>
          <w:p w14:paraId="17FF36F8">
            <w:pPr>
              <w:spacing w:line="240" w:lineRule="auto"/>
              <w:ind w:firstLine="0" w:firstLineChars="0"/>
              <w:jc w:val="center"/>
              <w:rPr>
                <w:rFonts w:hint="eastAsia" w:ascii="仿宋" w:hAnsi="仿宋" w:eastAsia="仿宋" w:cs="仿宋"/>
                <w:color w:val="auto"/>
                <w:szCs w:val="28"/>
                <w:highlight w:val="none"/>
              </w:rPr>
            </w:pPr>
            <w:r>
              <w:rPr>
                <w:rFonts w:hint="default" w:ascii="仿宋" w:hAnsi="仿宋" w:eastAsia="仿宋" w:cs="仿宋"/>
                <w:color w:val="auto"/>
                <w:szCs w:val="28"/>
                <w:highlight w:val="none"/>
                <w:lang w:val="en-US" w:eastAsia="zh-CN"/>
              </w:rPr>
              <w:t>22.4</w:t>
            </w:r>
          </w:p>
        </w:tc>
        <w:tc>
          <w:tcPr>
            <w:tcW w:w="1073" w:type="dxa"/>
            <w:noWrap/>
            <w:vAlign w:val="center"/>
          </w:tcPr>
          <w:p w14:paraId="2155B8ED">
            <w:pPr>
              <w:spacing w:line="240" w:lineRule="auto"/>
              <w:ind w:firstLine="0" w:firstLineChars="0"/>
              <w:jc w:val="center"/>
              <w:rPr>
                <w:rFonts w:hint="eastAsia" w:ascii="仿宋" w:hAnsi="仿宋" w:eastAsia="仿宋" w:cs="仿宋"/>
                <w:color w:val="auto"/>
                <w:szCs w:val="28"/>
                <w:highlight w:val="none"/>
              </w:rPr>
            </w:pPr>
            <w:r>
              <w:rPr>
                <w:rFonts w:hint="default" w:ascii="仿宋" w:hAnsi="仿宋" w:eastAsia="仿宋" w:cs="仿宋"/>
                <w:color w:val="auto"/>
                <w:szCs w:val="28"/>
                <w:highlight w:val="none"/>
              </w:rPr>
              <w:t>0.1</w:t>
            </w:r>
            <w:r>
              <w:rPr>
                <w:rFonts w:hint="default" w:ascii="仿宋" w:hAnsi="仿宋" w:eastAsia="仿宋" w:cs="仿宋"/>
                <w:color w:val="auto"/>
                <w:szCs w:val="28"/>
                <w:highlight w:val="none"/>
                <w:lang w:val="en-US" w:eastAsia="zh-CN"/>
              </w:rPr>
              <w:t>2</w:t>
            </w:r>
          </w:p>
        </w:tc>
        <w:tc>
          <w:tcPr>
            <w:tcW w:w="916" w:type="dxa"/>
            <w:noWrap/>
            <w:vAlign w:val="center"/>
          </w:tcPr>
          <w:p w14:paraId="3996BA96">
            <w:pPr>
              <w:spacing w:line="240" w:lineRule="auto"/>
              <w:ind w:firstLine="0" w:firstLineChars="0"/>
              <w:jc w:val="center"/>
              <w:rPr>
                <w:rFonts w:hint="eastAsia" w:ascii="仿宋" w:hAnsi="仿宋" w:eastAsia="仿宋" w:cs="仿宋"/>
                <w:color w:val="auto"/>
                <w:szCs w:val="28"/>
                <w:highlight w:val="none"/>
              </w:rPr>
            </w:pPr>
            <w:r>
              <w:rPr>
                <w:rFonts w:hint="default" w:ascii="仿宋" w:hAnsi="仿宋" w:eastAsia="仿宋" w:cs="仿宋"/>
                <w:color w:val="auto"/>
                <w:szCs w:val="28"/>
                <w:highlight w:val="none"/>
              </w:rPr>
              <w:t>0.01</w:t>
            </w:r>
            <w:r>
              <w:rPr>
                <w:rFonts w:hint="default" w:ascii="仿宋" w:hAnsi="仿宋" w:eastAsia="仿宋" w:cs="仿宋"/>
                <w:color w:val="auto"/>
                <w:szCs w:val="28"/>
                <w:highlight w:val="none"/>
                <w:lang w:val="en-US" w:eastAsia="zh-CN"/>
              </w:rPr>
              <w:t>5</w:t>
            </w:r>
          </w:p>
        </w:tc>
        <w:tc>
          <w:tcPr>
            <w:tcW w:w="1230" w:type="dxa"/>
            <w:noWrap/>
            <w:vAlign w:val="center"/>
          </w:tcPr>
          <w:p w14:paraId="2B83489D">
            <w:pPr>
              <w:spacing w:line="240" w:lineRule="auto"/>
              <w:ind w:firstLine="0" w:firstLineChars="0"/>
              <w:jc w:val="center"/>
              <w:rPr>
                <w:rFonts w:hint="eastAsia" w:ascii="仿宋" w:hAnsi="仿宋" w:eastAsia="仿宋" w:cs="仿宋"/>
                <w:color w:val="auto"/>
                <w:szCs w:val="28"/>
                <w:highlight w:val="none"/>
              </w:rPr>
            </w:pPr>
            <w:r>
              <w:rPr>
                <w:rFonts w:hint="default" w:ascii="仿宋" w:hAnsi="仿宋" w:eastAsia="仿宋" w:cs="仿宋"/>
                <w:color w:val="auto"/>
                <w:szCs w:val="28"/>
                <w:highlight w:val="none"/>
              </w:rPr>
              <w:t>0.</w:t>
            </w:r>
            <w:r>
              <w:rPr>
                <w:rFonts w:hint="default" w:ascii="仿宋" w:hAnsi="仿宋" w:eastAsia="仿宋" w:cs="仿宋"/>
                <w:color w:val="auto"/>
                <w:szCs w:val="28"/>
                <w:highlight w:val="none"/>
                <w:lang w:val="en-US" w:eastAsia="zh-CN"/>
              </w:rPr>
              <w:t>5</w:t>
            </w:r>
          </w:p>
        </w:tc>
        <w:tc>
          <w:tcPr>
            <w:tcW w:w="1213" w:type="dxa"/>
            <w:noWrap/>
            <w:vAlign w:val="center"/>
          </w:tcPr>
          <w:p w14:paraId="47EB3A17">
            <w:pPr>
              <w:spacing w:line="240" w:lineRule="auto"/>
              <w:ind w:firstLine="0" w:firstLineChars="0"/>
              <w:jc w:val="center"/>
              <w:rPr>
                <w:rFonts w:hint="eastAsia" w:ascii="仿宋" w:hAnsi="仿宋" w:eastAsia="仿宋" w:cs="仿宋"/>
                <w:color w:val="auto"/>
                <w:szCs w:val="28"/>
                <w:highlight w:val="none"/>
              </w:rPr>
            </w:pPr>
            <w:r>
              <w:rPr>
                <w:rFonts w:hint="default" w:ascii="仿宋" w:hAnsi="仿宋" w:eastAsia="仿宋" w:cs="仿宋"/>
                <w:color w:val="auto"/>
                <w:szCs w:val="28"/>
                <w:highlight w:val="none"/>
              </w:rPr>
              <w:t>1.</w:t>
            </w:r>
            <w:r>
              <w:rPr>
                <w:rFonts w:hint="default" w:ascii="仿宋" w:hAnsi="仿宋" w:eastAsia="仿宋" w:cs="仿宋"/>
                <w:color w:val="auto"/>
                <w:szCs w:val="28"/>
                <w:highlight w:val="none"/>
                <w:lang w:val="en-US" w:eastAsia="zh-CN"/>
              </w:rPr>
              <w:t>12</w:t>
            </w:r>
          </w:p>
        </w:tc>
        <w:tc>
          <w:tcPr>
            <w:tcW w:w="2196" w:type="dxa"/>
            <w:noWrap/>
            <w:vAlign w:val="center"/>
          </w:tcPr>
          <w:p w14:paraId="198E1254">
            <w:pPr>
              <w:spacing w:line="240" w:lineRule="auto"/>
              <w:ind w:firstLine="0" w:firstLineChars="0"/>
              <w:jc w:val="center"/>
              <w:rPr>
                <w:rFonts w:hint="eastAsia" w:ascii="仿宋" w:hAnsi="仿宋" w:eastAsia="仿宋" w:cs="仿宋"/>
                <w:color w:val="auto"/>
                <w:szCs w:val="28"/>
                <w:highlight w:val="none"/>
              </w:rPr>
            </w:pPr>
            <w:r>
              <w:rPr>
                <w:rFonts w:hint="default" w:ascii="仿宋" w:hAnsi="仿宋" w:eastAsia="仿宋" w:cs="仿宋"/>
                <w:color w:val="auto"/>
                <w:szCs w:val="28"/>
                <w:highlight w:val="none"/>
                <w:lang w:val="en-US" w:eastAsia="zh-CN"/>
              </w:rPr>
              <w:t>2.89</w:t>
            </w:r>
          </w:p>
        </w:tc>
      </w:tr>
    </w:tbl>
    <w:p w14:paraId="3F62BA74">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按推理公式法，从上游至下游逐段计算每个汇水区的地面集水，暴雨强度和设计流量QR，并计算内涝防治设计标准下雨水管渠的过水能力Q0，计算暴雨强度和设计流量时，降雨历时的选择应与雨水管渠设计时的降雨历时一致。</w:t>
      </w:r>
    </w:p>
    <w:p w14:paraId="7B42FD3A">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暴雨强度（q）采用《关于发布重庆市暴雨强度修订公式及设计暴雨雨型的通知》（渝建〔2017〕443号）中巴南区暴雨强度公式计算：</w:t>
      </w:r>
    </w:p>
    <w:p w14:paraId="3CB2A52C">
      <w:pPr>
        <w:ind w:left="0" w:leftChars="0"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drawing>
          <wp:inline distT="0" distB="0" distL="0" distR="0">
            <wp:extent cx="1911985" cy="542925"/>
            <wp:effectExtent l="0" t="0" r="12065" b="0"/>
            <wp:docPr id="13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943425" cy="551979"/>
                    </a:xfrm>
                    <a:prstGeom prst="rect">
                      <a:avLst/>
                    </a:prstGeom>
                    <a:noFill/>
                    <a:ln>
                      <a:noFill/>
                    </a:ln>
                  </pic:spPr>
                </pic:pic>
              </a:graphicData>
            </a:graphic>
          </wp:inline>
        </w:drawing>
      </w:r>
      <w:r>
        <w:rPr>
          <w:rFonts w:hint="eastAsia" w:ascii="仿宋" w:hAnsi="仿宋" w:eastAsia="仿宋" w:cs="仿宋"/>
          <w:color w:val="auto"/>
          <w:szCs w:val="28"/>
          <w:highlight w:val="none"/>
        </w:rPr>
        <w:t>（L/s·hm2）</w:t>
      </w:r>
    </w:p>
    <w:p w14:paraId="10973ECD">
      <w:pPr>
        <w:ind w:left="0" w:leftChars="0"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内涝标准下雨水管道水力计算表</w:t>
      </w:r>
    </w:p>
    <w:tbl>
      <w:tblPr>
        <w:tblStyle w:val="2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73"/>
        <w:gridCol w:w="1208"/>
        <w:gridCol w:w="1281"/>
        <w:gridCol w:w="863"/>
        <w:gridCol w:w="819"/>
        <w:gridCol w:w="1160"/>
        <w:gridCol w:w="1139"/>
        <w:gridCol w:w="1436"/>
      </w:tblGrid>
      <w:tr w14:paraId="1429A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 w:type="pct"/>
            <w:vAlign w:val="center"/>
          </w:tcPr>
          <w:p w14:paraId="3CC255E6">
            <w:pPr>
              <w:widowControl/>
              <w:spacing w:line="240" w:lineRule="auto"/>
              <w:ind w:firstLine="0" w:firstLineChars="0"/>
              <w:jc w:val="center"/>
              <w:rPr>
                <w:rFonts w:hint="eastAsia" w:ascii="仿宋" w:hAnsi="仿宋" w:eastAsia="仿宋" w:cs="仿宋"/>
                <w:color w:val="auto"/>
                <w:kern w:val="0"/>
                <w:szCs w:val="28"/>
                <w:highlight w:val="none"/>
              </w:rPr>
            </w:pPr>
            <w:r>
              <w:rPr>
                <w:rFonts w:hint="eastAsia" w:ascii="仿宋" w:hAnsi="仿宋" w:eastAsia="仿宋" w:cs="仿宋"/>
                <w:color w:val="auto"/>
                <w:kern w:val="0"/>
                <w:szCs w:val="28"/>
                <w:highlight w:val="none"/>
              </w:rPr>
              <w:t>管道位置</w:t>
            </w:r>
          </w:p>
        </w:tc>
        <w:tc>
          <w:tcPr>
            <w:tcW w:w="560" w:type="pct"/>
            <w:vAlign w:val="center"/>
          </w:tcPr>
          <w:p w14:paraId="675CE2E4">
            <w:pPr>
              <w:spacing w:line="240" w:lineRule="auto"/>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汇流</w:t>
            </w:r>
            <w:r>
              <w:rPr>
                <w:rFonts w:hint="eastAsia" w:ascii="仿宋" w:hAnsi="仿宋" w:eastAsia="仿宋" w:cs="仿宋"/>
                <w:color w:val="auto"/>
                <w:szCs w:val="28"/>
                <w:highlight w:val="none"/>
              </w:rPr>
              <w:br w:type="textWrapping"/>
            </w:r>
            <w:r>
              <w:rPr>
                <w:rFonts w:hint="eastAsia" w:ascii="仿宋" w:hAnsi="仿宋" w:eastAsia="仿宋" w:cs="仿宋"/>
                <w:color w:val="auto"/>
                <w:szCs w:val="28"/>
                <w:highlight w:val="none"/>
              </w:rPr>
              <w:t>面积</w:t>
            </w:r>
            <w:r>
              <w:rPr>
                <w:rFonts w:hint="eastAsia" w:ascii="仿宋" w:hAnsi="仿宋" w:eastAsia="仿宋" w:cs="仿宋"/>
                <w:color w:val="auto"/>
                <w:szCs w:val="28"/>
                <w:highlight w:val="none"/>
              </w:rPr>
              <w:br w:type="textWrapping"/>
            </w:r>
            <w:r>
              <w:rPr>
                <w:rFonts w:hint="eastAsia" w:ascii="仿宋" w:hAnsi="仿宋" w:eastAsia="仿宋" w:cs="仿宋"/>
                <w:color w:val="auto"/>
                <w:szCs w:val="28"/>
                <w:highlight w:val="none"/>
              </w:rPr>
              <w:t>(hm</w:t>
            </w:r>
            <w:r>
              <w:rPr>
                <w:rFonts w:hint="eastAsia" w:ascii="仿宋" w:hAnsi="仿宋" w:eastAsia="仿宋" w:cs="仿宋"/>
                <w:color w:val="auto"/>
                <w:szCs w:val="28"/>
                <w:highlight w:val="none"/>
                <w:vertAlign w:val="superscript"/>
              </w:rPr>
              <w:t>2</w:t>
            </w:r>
            <w:r>
              <w:rPr>
                <w:rFonts w:hint="eastAsia" w:ascii="仿宋" w:hAnsi="仿宋" w:eastAsia="仿宋" w:cs="仿宋"/>
                <w:color w:val="auto"/>
                <w:szCs w:val="28"/>
                <w:highlight w:val="none"/>
              </w:rPr>
              <w:t>)</w:t>
            </w:r>
          </w:p>
        </w:tc>
        <w:tc>
          <w:tcPr>
            <w:tcW w:w="577" w:type="pct"/>
            <w:vAlign w:val="center"/>
          </w:tcPr>
          <w:p w14:paraId="36667A75">
            <w:pPr>
              <w:spacing w:line="240" w:lineRule="auto"/>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重现期(年)</w:t>
            </w:r>
          </w:p>
        </w:tc>
        <w:tc>
          <w:tcPr>
            <w:tcW w:w="612" w:type="pct"/>
            <w:vAlign w:val="center"/>
          </w:tcPr>
          <w:p w14:paraId="6B19A8E2">
            <w:pPr>
              <w:spacing w:line="240" w:lineRule="auto"/>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设计</w:t>
            </w:r>
            <w:r>
              <w:rPr>
                <w:rFonts w:hint="eastAsia" w:ascii="仿宋" w:hAnsi="仿宋" w:eastAsia="仿宋" w:cs="仿宋"/>
                <w:color w:val="auto"/>
                <w:szCs w:val="28"/>
                <w:highlight w:val="none"/>
              </w:rPr>
              <w:br w:type="textWrapping"/>
            </w:r>
            <w:r>
              <w:rPr>
                <w:rFonts w:hint="eastAsia" w:ascii="仿宋" w:hAnsi="仿宋" w:eastAsia="仿宋" w:cs="仿宋"/>
                <w:color w:val="auto"/>
                <w:szCs w:val="28"/>
                <w:highlight w:val="none"/>
              </w:rPr>
              <w:t>流量Q</w:t>
            </w:r>
            <w:r>
              <w:rPr>
                <w:rFonts w:hint="eastAsia" w:ascii="仿宋" w:hAnsi="仿宋" w:eastAsia="仿宋" w:cs="仿宋"/>
                <w:color w:val="auto"/>
                <w:szCs w:val="28"/>
                <w:highlight w:val="none"/>
                <w:vertAlign w:val="subscript"/>
              </w:rPr>
              <w:t>T</w:t>
            </w:r>
            <w:r>
              <w:rPr>
                <w:rFonts w:hint="eastAsia" w:ascii="仿宋" w:hAnsi="仿宋" w:eastAsia="仿宋" w:cs="仿宋"/>
                <w:color w:val="auto"/>
                <w:szCs w:val="28"/>
                <w:highlight w:val="none"/>
              </w:rPr>
              <w:br w:type="textWrapping"/>
            </w:r>
            <w:r>
              <w:rPr>
                <w:rFonts w:hint="eastAsia" w:ascii="仿宋" w:hAnsi="仿宋" w:eastAsia="仿宋" w:cs="仿宋"/>
                <w:color w:val="auto"/>
                <w:szCs w:val="28"/>
                <w:highlight w:val="none"/>
              </w:rPr>
              <w:t>(m</w:t>
            </w:r>
            <w:r>
              <w:rPr>
                <w:rFonts w:hint="eastAsia" w:ascii="仿宋" w:hAnsi="仿宋" w:eastAsia="仿宋" w:cs="仿宋"/>
                <w:color w:val="auto"/>
                <w:szCs w:val="28"/>
                <w:highlight w:val="none"/>
                <w:vertAlign w:val="superscript"/>
              </w:rPr>
              <w:t>3</w:t>
            </w:r>
            <w:r>
              <w:rPr>
                <w:rFonts w:hint="eastAsia" w:ascii="仿宋" w:hAnsi="仿宋" w:eastAsia="仿宋" w:cs="仿宋"/>
                <w:color w:val="auto"/>
                <w:szCs w:val="28"/>
                <w:highlight w:val="none"/>
              </w:rPr>
              <w:t>/s)</w:t>
            </w:r>
          </w:p>
        </w:tc>
        <w:tc>
          <w:tcPr>
            <w:tcW w:w="412" w:type="pct"/>
            <w:vAlign w:val="center"/>
          </w:tcPr>
          <w:p w14:paraId="7C2913C8">
            <w:pPr>
              <w:spacing w:line="240" w:lineRule="auto"/>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管径</w:t>
            </w:r>
            <w:r>
              <w:rPr>
                <w:rFonts w:hint="eastAsia" w:ascii="仿宋" w:hAnsi="仿宋" w:eastAsia="仿宋" w:cs="仿宋"/>
                <w:color w:val="auto"/>
                <w:szCs w:val="28"/>
                <w:highlight w:val="none"/>
              </w:rPr>
              <w:br w:type="textWrapping"/>
            </w:r>
            <w:r>
              <w:rPr>
                <w:rFonts w:hint="eastAsia" w:ascii="仿宋" w:hAnsi="仿宋" w:eastAsia="仿宋" w:cs="仿宋"/>
                <w:color w:val="auto"/>
                <w:szCs w:val="28"/>
                <w:highlight w:val="none"/>
              </w:rPr>
              <w:t>(mm)</w:t>
            </w:r>
          </w:p>
        </w:tc>
        <w:tc>
          <w:tcPr>
            <w:tcW w:w="391" w:type="pct"/>
            <w:vAlign w:val="center"/>
          </w:tcPr>
          <w:p w14:paraId="78B85B1E">
            <w:pPr>
              <w:spacing w:line="240" w:lineRule="auto"/>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粗糙</w:t>
            </w:r>
            <w:r>
              <w:rPr>
                <w:rFonts w:hint="eastAsia" w:ascii="仿宋" w:hAnsi="仿宋" w:eastAsia="仿宋" w:cs="仿宋"/>
                <w:color w:val="auto"/>
                <w:szCs w:val="28"/>
                <w:highlight w:val="none"/>
              </w:rPr>
              <w:br w:type="textWrapping"/>
            </w:r>
            <w:r>
              <w:rPr>
                <w:rFonts w:hint="eastAsia" w:ascii="仿宋" w:hAnsi="仿宋" w:eastAsia="仿宋" w:cs="仿宋"/>
                <w:color w:val="auto"/>
                <w:szCs w:val="28"/>
                <w:highlight w:val="none"/>
              </w:rPr>
              <w:t>系数</w:t>
            </w:r>
          </w:p>
        </w:tc>
        <w:tc>
          <w:tcPr>
            <w:tcW w:w="554" w:type="pct"/>
            <w:vAlign w:val="center"/>
          </w:tcPr>
          <w:p w14:paraId="64A9EDFE">
            <w:pPr>
              <w:spacing w:line="240" w:lineRule="auto"/>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水力坡度</w:t>
            </w:r>
            <w:r>
              <w:rPr>
                <w:rFonts w:hint="eastAsia" w:ascii="仿宋" w:hAnsi="仿宋" w:eastAsia="仿宋" w:cs="仿宋"/>
                <w:color w:val="auto"/>
                <w:kern w:val="0"/>
                <w:szCs w:val="28"/>
                <w:highlight w:val="none"/>
              </w:rPr>
              <w:t>(%)</w:t>
            </w:r>
          </w:p>
        </w:tc>
        <w:tc>
          <w:tcPr>
            <w:tcW w:w="544" w:type="pct"/>
            <w:vAlign w:val="center"/>
          </w:tcPr>
          <w:p w14:paraId="343A4623">
            <w:pPr>
              <w:spacing w:line="240" w:lineRule="auto"/>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流速</w:t>
            </w:r>
            <w:r>
              <w:rPr>
                <w:rFonts w:hint="eastAsia" w:ascii="仿宋" w:hAnsi="仿宋" w:eastAsia="仿宋" w:cs="仿宋"/>
                <w:color w:val="auto"/>
                <w:szCs w:val="28"/>
                <w:highlight w:val="none"/>
              </w:rPr>
              <w:br w:type="textWrapping"/>
            </w:r>
            <w:r>
              <w:rPr>
                <w:rFonts w:hint="eastAsia" w:ascii="仿宋" w:hAnsi="仿宋" w:eastAsia="仿宋" w:cs="仿宋"/>
                <w:color w:val="auto"/>
                <w:szCs w:val="28"/>
                <w:highlight w:val="none"/>
              </w:rPr>
              <w:t>m/s</w:t>
            </w:r>
          </w:p>
        </w:tc>
        <w:tc>
          <w:tcPr>
            <w:tcW w:w="686" w:type="pct"/>
            <w:vAlign w:val="center"/>
          </w:tcPr>
          <w:p w14:paraId="08CDBD01">
            <w:pPr>
              <w:spacing w:line="240" w:lineRule="auto"/>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过流</w:t>
            </w:r>
            <w:r>
              <w:rPr>
                <w:rFonts w:hint="eastAsia" w:ascii="仿宋" w:hAnsi="仿宋" w:eastAsia="仿宋" w:cs="仿宋"/>
                <w:color w:val="auto"/>
                <w:szCs w:val="28"/>
                <w:highlight w:val="none"/>
              </w:rPr>
              <w:br w:type="textWrapping"/>
            </w:r>
            <w:r>
              <w:rPr>
                <w:rFonts w:hint="eastAsia" w:ascii="仿宋" w:hAnsi="仿宋" w:eastAsia="仿宋" w:cs="仿宋"/>
                <w:color w:val="auto"/>
                <w:szCs w:val="28"/>
                <w:highlight w:val="none"/>
              </w:rPr>
              <w:t>能力Q</w:t>
            </w:r>
            <w:r>
              <w:rPr>
                <w:rFonts w:hint="eastAsia" w:ascii="仿宋" w:hAnsi="仿宋" w:eastAsia="仿宋" w:cs="仿宋"/>
                <w:color w:val="auto"/>
                <w:szCs w:val="28"/>
                <w:highlight w:val="none"/>
                <w:vertAlign w:val="subscript"/>
              </w:rPr>
              <w:t>0</w:t>
            </w:r>
            <w:r>
              <w:rPr>
                <w:rFonts w:hint="eastAsia" w:ascii="仿宋" w:hAnsi="仿宋" w:eastAsia="仿宋" w:cs="仿宋"/>
                <w:color w:val="auto"/>
                <w:szCs w:val="28"/>
                <w:highlight w:val="none"/>
              </w:rPr>
              <w:br w:type="textWrapping"/>
            </w:r>
            <w:r>
              <w:rPr>
                <w:rFonts w:hint="eastAsia" w:ascii="仿宋" w:hAnsi="仿宋" w:eastAsia="仿宋" w:cs="仿宋"/>
                <w:color w:val="auto"/>
                <w:szCs w:val="28"/>
                <w:highlight w:val="none"/>
              </w:rPr>
              <w:t>(m</w:t>
            </w:r>
            <w:r>
              <w:rPr>
                <w:rFonts w:hint="eastAsia" w:ascii="仿宋" w:hAnsi="仿宋" w:eastAsia="仿宋" w:cs="仿宋"/>
                <w:color w:val="auto"/>
                <w:szCs w:val="28"/>
                <w:highlight w:val="none"/>
                <w:vertAlign w:val="superscript"/>
              </w:rPr>
              <w:t>3</w:t>
            </w:r>
            <w:r>
              <w:rPr>
                <w:rFonts w:hint="eastAsia" w:ascii="仿宋" w:hAnsi="仿宋" w:eastAsia="仿宋" w:cs="仿宋"/>
                <w:color w:val="auto"/>
                <w:szCs w:val="28"/>
                <w:highlight w:val="none"/>
              </w:rPr>
              <w:t>/s)</w:t>
            </w:r>
          </w:p>
        </w:tc>
      </w:tr>
      <w:tr w14:paraId="487D1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 w:type="pct"/>
            <w:shd w:val="clear" w:color="auto" w:fill="auto"/>
            <w:vAlign w:val="center"/>
          </w:tcPr>
          <w:p w14:paraId="1E82C582">
            <w:pPr>
              <w:spacing w:line="240" w:lineRule="auto"/>
              <w:ind w:firstLine="0" w:firstLineChars="0"/>
              <w:jc w:val="center"/>
              <w:rPr>
                <w:rFonts w:hint="eastAsia" w:ascii="仿宋" w:hAnsi="仿宋" w:eastAsia="仿宋" w:cs="仿宋"/>
                <w:color w:val="auto"/>
                <w:szCs w:val="28"/>
                <w:highlight w:val="none"/>
                <w:lang w:eastAsia="zh-CN"/>
              </w:rPr>
            </w:pPr>
            <w:r>
              <w:rPr>
                <w:rFonts w:hint="eastAsia" w:ascii="仿宋" w:hAnsi="仿宋" w:eastAsia="仿宋" w:cs="仿宋"/>
                <w:color w:val="auto"/>
                <w:szCs w:val="28"/>
                <w:highlight w:val="none"/>
              </w:rPr>
              <w:t>Y-</w:t>
            </w:r>
            <w:r>
              <w:rPr>
                <w:rFonts w:hint="eastAsia" w:ascii="仿宋" w:hAnsi="仿宋" w:eastAsia="仿宋" w:cs="仿宋"/>
                <w:color w:val="auto"/>
                <w:szCs w:val="28"/>
                <w:highlight w:val="none"/>
                <w:lang w:val="en-US" w:eastAsia="zh-CN"/>
              </w:rPr>
              <w:t>3</w:t>
            </w:r>
          </w:p>
        </w:tc>
        <w:tc>
          <w:tcPr>
            <w:tcW w:w="560" w:type="pct"/>
            <w:shd w:val="clear" w:color="auto" w:fill="auto"/>
            <w:vAlign w:val="center"/>
          </w:tcPr>
          <w:p w14:paraId="6D5E6187">
            <w:pPr>
              <w:pStyle w:val="44"/>
              <w:spacing w:line="240" w:lineRule="auto"/>
              <w:jc w:val="center"/>
              <w:rPr>
                <w:rFonts w:hint="default" w:ascii="仿宋" w:hAnsi="仿宋" w:eastAsia="仿宋" w:cs="仿宋"/>
                <w:color w:val="auto"/>
                <w:sz w:val="28"/>
                <w:highlight w:val="none"/>
                <w:lang w:val="en-US" w:eastAsia="zh-CN"/>
              </w:rPr>
            </w:pPr>
            <w:r>
              <w:rPr>
                <w:rFonts w:hint="eastAsia" w:ascii="仿宋" w:hAnsi="仿宋" w:eastAsia="仿宋" w:cs="仿宋"/>
                <w:color w:val="auto"/>
                <w:sz w:val="28"/>
                <w:highlight w:val="none"/>
                <w:lang w:val="en-US" w:eastAsia="zh-CN"/>
              </w:rPr>
              <w:t>3.00</w:t>
            </w:r>
          </w:p>
        </w:tc>
        <w:tc>
          <w:tcPr>
            <w:tcW w:w="577" w:type="pct"/>
            <w:shd w:val="clear" w:color="auto" w:fill="auto"/>
            <w:vAlign w:val="center"/>
          </w:tcPr>
          <w:p w14:paraId="016416EC">
            <w:pPr>
              <w:spacing w:line="240" w:lineRule="auto"/>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100</w:t>
            </w:r>
          </w:p>
        </w:tc>
        <w:tc>
          <w:tcPr>
            <w:tcW w:w="612" w:type="pct"/>
            <w:shd w:val="clear" w:color="auto" w:fill="auto"/>
            <w:vAlign w:val="center"/>
          </w:tcPr>
          <w:p w14:paraId="49C21950">
            <w:pPr>
              <w:pStyle w:val="44"/>
              <w:spacing w:line="240" w:lineRule="auto"/>
              <w:jc w:val="center"/>
              <w:rPr>
                <w:rFonts w:hint="default" w:ascii="仿宋" w:hAnsi="仿宋" w:eastAsia="仿宋" w:cs="仿宋"/>
                <w:color w:val="auto"/>
                <w:sz w:val="28"/>
                <w:highlight w:val="none"/>
                <w:lang w:val="en-US" w:eastAsia="zh-CN"/>
              </w:rPr>
            </w:pPr>
            <w:r>
              <w:rPr>
                <w:rFonts w:hint="eastAsia" w:ascii="仿宋" w:hAnsi="仿宋" w:eastAsia="仿宋" w:cs="仿宋"/>
                <w:color w:val="auto"/>
                <w:sz w:val="28"/>
                <w:highlight w:val="none"/>
                <w:lang w:val="en-US" w:eastAsia="zh-CN"/>
              </w:rPr>
              <w:t>1.64</w:t>
            </w:r>
          </w:p>
        </w:tc>
        <w:tc>
          <w:tcPr>
            <w:tcW w:w="412" w:type="pct"/>
            <w:shd w:val="clear" w:color="auto" w:fill="auto"/>
            <w:vAlign w:val="center"/>
          </w:tcPr>
          <w:p w14:paraId="71A8A313">
            <w:pPr>
              <w:pStyle w:val="44"/>
              <w:spacing w:line="240" w:lineRule="auto"/>
              <w:jc w:val="center"/>
              <w:rPr>
                <w:rFonts w:hint="default" w:ascii="仿宋" w:hAnsi="仿宋" w:eastAsia="仿宋" w:cs="仿宋"/>
                <w:color w:val="auto"/>
                <w:sz w:val="28"/>
                <w:highlight w:val="none"/>
                <w:lang w:val="en-US" w:eastAsia="zh-CN"/>
              </w:rPr>
            </w:pPr>
            <w:r>
              <w:rPr>
                <w:rFonts w:hint="eastAsia" w:ascii="仿宋" w:hAnsi="仿宋" w:eastAsia="仿宋" w:cs="仿宋"/>
                <w:color w:val="auto"/>
                <w:sz w:val="28"/>
                <w:highlight w:val="none"/>
                <w:lang w:val="en-US" w:eastAsia="zh-CN"/>
              </w:rPr>
              <w:t>600</w:t>
            </w:r>
          </w:p>
        </w:tc>
        <w:tc>
          <w:tcPr>
            <w:tcW w:w="391" w:type="pct"/>
            <w:shd w:val="clear" w:color="auto" w:fill="auto"/>
            <w:vAlign w:val="center"/>
          </w:tcPr>
          <w:p w14:paraId="6D205AEE">
            <w:pPr>
              <w:spacing w:line="240" w:lineRule="auto"/>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0.01</w:t>
            </w:r>
          </w:p>
        </w:tc>
        <w:tc>
          <w:tcPr>
            <w:tcW w:w="554" w:type="pct"/>
            <w:shd w:val="clear" w:color="auto" w:fill="auto"/>
            <w:vAlign w:val="center"/>
          </w:tcPr>
          <w:p w14:paraId="2A2C25FF">
            <w:pPr>
              <w:adjustRightInd w:val="0"/>
              <w:snapToGrid w:val="0"/>
              <w:spacing w:line="240" w:lineRule="auto"/>
              <w:ind w:firstLine="0" w:firstLineChars="0"/>
              <w:jc w:val="center"/>
              <w:rPr>
                <w:rFonts w:hint="eastAsia" w:ascii="仿宋" w:hAnsi="仿宋" w:eastAsia="仿宋" w:cs="仿宋"/>
                <w:bCs/>
                <w:color w:val="auto"/>
                <w:szCs w:val="28"/>
                <w:highlight w:val="none"/>
                <w:lang w:eastAsia="zh-CN"/>
              </w:rPr>
            </w:pPr>
            <w:r>
              <w:rPr>
                <w:rFonts w:hint="eastAsia" w:ascii="仿宋" w:hAnsi="仿宋" w:eastAsia="仿宋" w:cs="仿宋"/>
                <w:bCs/>
                <w:color w:val="auto"/>
                <w:szCs w:val="28"/>
                <w:highlight w:val="none"/>
                <w:lang w:val="en-US" w:eastAsia="zh-CN"/>
              </w:rPr>
              <w:t>1</w:t>
            </w:r>
          </w:p>
        </w:tc>
        <w:tc>
          <w:tcPr>
            <w:tcW w:w="544" w:type="pct"/>
            <w:shd w:val="clear" w:color="auto" w:fill="auto"/>
            <w:vAlign w:val="center"/>
          </w:tcPr>
          <w:p w14:paraId="06675C1D">
            <w:pPr>
              <w:adjustRightInd w:val="0"/>
              <w:snapToGrid w:val="0"/>
              <w:spacing w:line="240" w:lineRule="auto"/>
              <w:ind w:firstLine="0" w:firstLineChars="0"/>
              <w:jc w:val="center"/>
              <w:rPr>
                <w:rFonts w:hint="default" w:ascii="仿宋" w:hAnsi="仿宋" w:eastAsia="仿宋" w:cs="仿宋"/>
                <w:bCs/>
                <w:color w:val="auto"/>
                <w:szCs w:val="28"/>
                <w:highlight w:val="none"/>
                <w:lang w:val="en-US" w:eastAsia="zh-CN"/>
              </w:rPr>
            </w:pPr>
            <w:r>
              <w:rPr>
                <w:rFonts w:hint="eastAsia" w:ascii="仿宋" w:hAnsi="仿宋" w:eastAsia="仿宋" w:cs="仿宋"/>
                <w:bCs/>
                <w:color w:val="auto"/>
                <w:szCs w:val="28"/>
                <w:highlight w:val="none"/>
                <w:lang w:val="en-US" w:eastAsia="zh-CN"/>
              </w:rPr>
              <w:t>2.82</w:t>
            </w:r>
          </w:p>
        </w:tc>
        <w:tc>
          <w:tcPr>
            <w:tcW w:w="686" w:type="pct"/>
            <w:shd w:val="clear" w:color="auto" w:fill="auto"/>
            <w:vAlign w:val="center"/>
          </w:tcPr>
          <w:p w14:paraId="6050D0E3">
            <w:pPr>
              <w:adjustRightInd w:val="0"/>
              <w:snapToGrid w:val="0"/>
              <w:spacing w:line="240" w:lineRule="auto"/>
              <w:ind w:firstLine="0" w:firstLineChars="0"/>
              <w:jc w:val="center"/>
              <w:rPr>
                <w:rFonts w:hint="default" w:ascii="仿宋" w:hAnsi="仿宋" w:eastAsia="仿宋" w:cs="仿宋"/>
                <w:bCs/>
                <w:color w:val="auto"/>
                <w:szCs w:val="28"/>
                <w:highlight w:val="none"/>
                <w:lang w:val="en-US" w:eastAsia="zh-CN"/>
              </w:rPr>
            </w:pPr>
            <w:r>
              <w:rPr>
                <w:rFonts w:hint="eastAsia" w:ascii="仿宋" w:hAnsi="仿宋" w:eastAsia="仿宋" w:cs="仿宋"/>
                <w:bCs/>
                <w:color w:val="auto"/>
                <w:szCs w:val="28"/>
                <w:highlight w:val="none"/>
                <w:lang w:val="en-US" w:eastAsia="zh-CN"/>
              </w:rPr>
              <w:t>0.80</w:t>
            </w:r>
          </w:p>
        </w:tc>
      </w:tr>
    </w:tbl>
    <w:p w14:paraId="1B8DA46D">
      <w:pPr>
        <w:ind w:firstLine="562"/>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rPr>
        <w:t>注：雨水管道满流承压状态下，忽略局部水损，水力坡度近似为道路纵坡。</w:t>
      </w:r>
    </w:p>
    <w:p w14:paraId="4CD37938">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在每个区段，将设计流量QT减去内涝防治设计重现期条件下雨水管渠的过水能力Q0，得到满足内涝防治设计重现期条件下道路表面的设计流量Q3。</w:t>
      </w:r>
    </w:p>
    <w:p w14:paraId="59DF249E">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Qs≥Q3，则该区段内涝防治系统的设计满足规范要求。</w:t>
      </w:r>
    </w:p>
    <w:p w14:paraId="1169583B">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雨水管道内涝校核表</w:t>
      </w:r>
    </w:p>
    <w:tbl>
      <w:tblPr>
        <w:tblStyle w:val="23"/>
        <w:tblW w:w="5000" w:type="pct"/>
        <w:jc w:val="center"/>
        <w:tblLayout w:type="autofit"/>
        <w:tblCellMar>
          <w:top w:w="0" w:type="dxa"/>
          <w:left w:w="108" w:type="dxa"/>
          <w:bottom w:w="0" w:type="dxa"/>
          <w:right w:w="108" w:type="dxa"/>
        </w:tblCellMar>
      </w:tblPr>
      <w:tblGrid>
        <w:gridCol w:w="1336"/>
        <w:gridCol w:w="1739"/>
        <w:gridCol w:w="1923"/>
        <w:gridCol w:w="2157"/>
        <w:gridCol w:w="2459"/>
        <w:gridCol w:w="855"/>
      </w:tblGrid>
      <w:tr w14:paraId="419B3F38">
        <w:tblPrEx>
          <w:tblCellMar>
            <w:top w:w="0" w:type="dxa"/>
            <w:left w:w="108" w:type="dxa"/>
            <w:bottom w:w="0" w:type="dxa"/>
            <w:right w:w="108" w:type="dxa"/>
          </w:tblCellMar>
        </w:tblPrEx>
        <w:trPr>
          <w:trHeight w:val="557" w:hRule="atLeast"/>
          <w:tblHeader/>
          <w:jc w:val="center"/>
        </w:trPr>
        <w:tc>
          <w:tcPr>
            <w:tcW w:w="638" w:type="pct"/>
            <w:tcBorders>
              <w:top w:val="single" w:color="auto" w:sz="4" w:space="0"/>
              <w:left w:val="single" w:color="auto" w:sz="4" w:space="0"/>
              <w:right w:val="single" w:color="auto" w:sz="4" w:space="0"/>
            </w:tcBorders>
            <w:vAlign w:val="center"/>
          </w:tcPr>
          <w:p w14:paraId="39DE1BAA">
            <w:pPr>
              <w:spacing w:line="240" w:lineRule="auto"/>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管道位置</w:t>
            </w:r>
          </w:p>
        </w:tc>
        <w:tc>
          <w:tcPr>
            <w:tcW w:w="830" w:type="pct"/>
            <w:tcBorders>
              <w:top w:val="single" w:color="auto" w:sz="4" w:space="0"/>
              <w:left w:val="single" w:color="auto" w:sz="4" w:space="0"/>
              <w:right w:val="single" w:color="auto" w:sz="4" w:space="0"/>
            </w:tcBorders>
            <w:vAlign w:val="center"/>
          </w:tcPr>
          <w:p w14:paraId="6E3921C1">
            <w:pPr>
              <w:snapToGrid w:val="0"/>
              <w:spacing w:line="240" w:lineRule="auto"/>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总设计流量Q</w:t>
            </w:r>
            <w:r>
              <w:rPr>
                <w:rFonts w:hint="eastAsia" w:ascii="仿宋" w:hAnsi="仿宋" w:eastAsia="仿宋" w:cs="仿宋"/>
                <w:color w:val="auto"/>
                <w:szCs w:val="28"/>
                <w:highlight w:val="none"/>
                <w:vertAlign w:val="subscript"/>
              </w:rPr>
              <w:t>T</w:t>
            </w:r>
            <w:r>
              <w:rPr>
                <w:rFonts w:hint="eastAsia" w:ascii="仿宋" w:hAnsi="仿宋" w:eastAsia="仿宋" w:cs="仿宋"/>
                <w:color w:val="auto"/>
                <w:szCs w:val="28"/>
                <w:highlight w:val="none"/>
              </w:rPr>
              <w:t>(m/s)</w:t>
            </w:r>
          </w:p>
        </w:tc>
        <w:tc>
          <w:tcPr>
            <w:tcW w:w="918" w:type="pct"/>
            <w:tcBorders>
              <w:top w:val="single" w:color="auto" w:sz="4" w:space="0"/>
              <w:left w:val="single" w:color="auto" w:sz="4" w:space="0"/>
              <w:right w:val="single" w:color="auto" w:sz="4" w:space="0"/>
            </w:tcBorders>
            <w:vAlign w:val="center"/>
          </w:tcPr>
          <w:p w14:paraId="031ABD73">
            <w:pPr>
              <w:snapToGrid w:val="0"/>
              <w:spacing w:line="240" w:lineRule="auto"/>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管道过流能力Q</w:t>
            </w:r>
            <w:r>
              <w:rPr>
                <w:rFonts w:hint="eastAsia" w:ascii="仿宋" w:hAnsi="仿宋" w:eastAsia="仿宋" w:cs="仿宋"/>
                <w:color w:val="auto"/>
                <w:szCs w:val="28"/>
                <w:highlight w:val="none"/>
                <w:vertAlign w:val="subscript"/>
              </w:rPr>
              <w:t>0</w:t>
            </w:r>
            <w:r>
              <w:rPr>
                <w:rFonts w:hint="eastAsia" w:ascii="仿宋" w:hAnsi="仿宋" w:eastAsia="仿宋" w:cs="仿宋"/>
                <w:color w:val="auto"/>
                <w:szCs w:val="28"/>
                <w:highlight w:val="none"/>
              </w:rPr>
              <w:t>(m</w:t>
            </w:r>
            <w:r>
              <w:rPr>
                <w:rFonts w:hint="eastAsia" w:ascii="仿宋" w:hAnsi="仿宋" w:eastAsia="仿宋" w:cs="仿宋"/>
                <w:color w:val="auto"/>
                <w:szCs w:val="28"/>
                <w:highlight w:val="none"/>
                <w:vertAlign w:val="superscript"/>
              </w:rPr>
              <w:t>3</w:t>
            </w:r>
            <w:r>
              <w:rPr>
                <w:rFonts w:hint="eastAsia" w:ascii="仿宋" w:hAnsi="仿宋" w:eastAsia="仿宋" w:cs="仿宋"/>
                <w:color w:val="auto"/>
                <w:szCs w:val="28"/>
                <w:highlight w:val="none"/>
              </w:rPr>
              <w:t>/s)</w:t>
            </w:r>
          </w:p>
        </w:tc>
        <w:tc>
          <w:tcPr>
            <w:tcW w:w="1030" w:type="pct"/>
            <w:tcBorders>
              <w:top w:val="single" w:color="auto" w:sz="4" w:space="0"/>
              <w:left w:val="single" w:color="auto" w:sz="4" w:space="0"/>
              <w:bottom w:val="single" w:color="000000" w:sz="8" w:space="0"/>
              <w:right w:val="single" w:color="auto" w:sz="4" w:space="0"/>
            </w:tcBorders>
            <w:vAlign w:val="center"/>
          </w:tcPr>
          <w:p w14:paraId="5E55803A">
            <w:pPr>
              <w:snapToGrid w:val="0"/>
              <w:spacing w:line="240" w:lineRule="auto"/>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道路表面设计流量Q</w:t>
            </w:r>
            <w:r>
              <w:rPr>
                <w:rFonts w:hint="eastAsia" w:ascii="仿宋" w:hAnsi="仿宋" w:eastAsia="仿宋" w:cs="仿宋"/>
                <w:color w:val="auto"/>
                <w:szCs w:val="28"/>
                <w:highlight w:val="none"/>
                <w:vertAlign w:val="subscript"/>
              </w:rPr>
              <w:t>3</w:t>
            </w:r>
            <w:r>
              <w:rPr>
                <w:rFonts w:hint="eastAsia" w:ascii="仿宋" w:hAnsi="仿宋" w:eastAsia="仿宋" w:cs="仿宋"/>
                <w:color w:val="auto"/>
                <w:szCs w:val="28"/>
                <w:highlight w:val="none"/>
              </w:rPr>
              <w:t>(m</w:t>
            </w:r>
            <w:r>
              <w:rPr>
                <w:rFonts w:hint="eastAsia" w:ascii="仿宋" w:hAnsi="仿宋" w:eastAsia="仿宋" w:cs="仿宋"/>
                <w:color w:val="auto"/>
                <w:szCs w:val="28"/>
                <w:highlight w:val="none"/>
                <w:vertAlign w:val="superscript"/>
              </w:rPr>
              <w:t>3</w:t>
            </w:r>
            <w:r>
              <w:rPr>
                <w:rFonts w:hint="eastAsia" w:ascii="仿宋" w:hAnsi="仿宋" w:eastAsia="仿宋" w:cs="仿宋"/>
                <w:color w:val="auto"/>
                <w:szCs w:val="28"/>
                <w:highlight w:val="none"/>
              </w:rPr>
              <w:t>/s)</w:t>
            </w:r>
          </w:p>
        </w:tc>
        <w:tc>
          <w:tcPr>
            <w:tcW w:w="1174" w:type="pct"/>
            <w:tcBorders>
              <w:top w:val="single" w:color="auto" w:sz="4" w:space="0"/>
              <w:left w:val="single" w:color="auto" w:sz="4" w:space="0"/>
              <w:right w:val="single" w:color="auto" w:sz="4" w:space="0"/>
            </w:tcBorders>
            <w:vAlign w:val="center"/>
          </w:tcPr>
          <w:p w14:paraId="57AABFD9">
            <w:pPr>
              <w:snapToGrid w:val="0"/>
              <w:spacing w:line="240" w:lineRule="auto"/>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道路表面纵向通行能力Qs(m</w:t>
            </w:r>
            <w:r>
              <w:rPr>
                <w:rFonts w:hint="eastAsia" w:ascii="仿宋" w:hAnsi="仿宋" w:eastAsia="仿宋" w:cs="仿宋"/>
                <w:color w:val="auto"/>
                <w:szCs w:val="28"/>
                <w:highlight w:val="none"/>
                <w:vertAlign w:val="superscript"/>
              </w:rPr>
              <w:t>3</w:t>
            </w:r>
            <w:r>
              <w:rPr>
                <w:rFonts w:hint="eastAsia" w:ascii="仿宋" w:hAnsi="仿宋" w:eastAsia="仿宋" w:cs="仿宋"/>
                <w:color w:val="auto"/>
                <w:szCs w:val="28"/>
                <w:highlight w:val="none"/>
              </w:rPr>
              <w:t>/s)</w:t>
            </w:r>
          </w:p>
        </w:tc>
        <w:tc>
          <w:tcPr>
            <w:tcW w:w="408" w:type="pct"/>
            <w:tcBorders>
              <w:top w:val="single" w:color="auto" w:sz="4" w:space="0"/>
              <w:left w:val="single" w:color="auto" w:sz="4" w:space="0"/>
              <w:bottom w:val="single" w:color="auto" w:sz="4" w:space="0"/>
              <w:right w:val="single" w:color="auto" w:sz="4" w:space="0"/>
            </w:tcBorders>
            <w:vAlign w:val="center"/>
          </w:tcPr>
          <w:p w14:paraId="61FAA0F7">
            <w:pPr>
              <w:snapToGrid w:val="0"/>
              <w:spacing w:line="240" w:lineRule="auto"/>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校核结果</w:t>
            </w:r>
          </w:p>
        </w:tc>
      </w:tr>
      <w:tr w14:paraId="388EF4F8">
        <w:tblPrEx>
          <w:tblCellMar>
            <w:top w:w="0" w:type="dxa"/>
            <w:left w:w="108" w:type="dxa"/>
            <w:bottom w:w="0" w:type="dxa"/>
            <w:right w:w="108" w:type="dxa"/>
          </w:tblCellMar>
        </w:tblPrEx>
        <w:trPr>
          <w:trHeight w:val="285" w:hRule="atLeast"/>
          <w:jc w:val="center"/>
        </w:trPr>
        <w:tc>
          <w:tcPr>
            <w:tcW w:w="638" w:type="pct"/>
            <w:tcBorders>
              <w:top w:val="single" w:color="auto" w:sz="4" w:space="0"/>
              <w:left w:val="single" w:color="auto" w:sz="4" w:space="0"/>
              <w:bottom w:val="single" w:color="auto" w:sz="4" w:space="0"/>
              <w:right w:val="single" w:color="auto" w:sz="4" w:space="0"/>
            </w:tcBorders>
            <w:shd w:val="clear" w:color="auto" w:fill="auto"/>
            <w:vAlign w:val="center"/>
          </w:tcPr>
          <w:p w14:paraId="1C9FE6B2">
            <w:pPr>
              <w:spacing w:line="240" w:lineRule="auto"/>
              <w:ind w:firstLine="0" w:firstLineChars="0"/>
              <w:jc w:val="center"/>
              <w:rPr>
                <w:rFonts w:hint="eastAsia" w:ascii="仿宋" w:hAnsi="仿宋" w:eastAsia="仿宋" w:cs="仿宋"/>
                <w:color w:val="auto"/>
                <w:szCs w:val="28"/>
                <w:highlight w:val="none"/>
                <w:lang w:eastAsia="zh-CN"/>
              </w:rPr>
            </w:pPr>
            <w:r>
              <w:rPr>
                <w:rFonts w:hint="eastAsia" w:ascii="仿宋" w:hAnsi="仿宋" w:eastAsia="仿宋" w:cs="仿宋"/>
                <w:color w:val="auto"/>
                <w:szCs w:val="28"/>
                <w:highlight w:val="none"/>
              </w:rPr>
              <w:t>Y-</w:t>
            </w:r>
            <w:r>
              <w:rPr>
                <w:rFonts w:hint="eastAsia" w:ascii="仿宋" w:hAnsi="仿宋" w:eastAsia="仿宋" w:cs="仿宋"/>
                <w:color w:val="auto"/>
                <w:szCs w:val="28"/>
                <w:highlight w:val="none"/>
                <w:lang w:val="en-US" w:eastAsia="zh-CN"/>
              </w:rPr>
              <w:t>3</w:t>
            </w:r>
          </w:p>
        </w:tc>
        <w:tc>
          <w:tcPr>
            <w:tcW w:w="830" w:type="pct"/>
            <w:tcBorders>
              <w:top w:val="single" w:color="auto" w:sz="4" w:space="0"/>
              <w:left w:val="single" w:color="auto" w:sz="4" w:space="0"/>
              <w:bottom w:val="single" w:color="auto" w:sz="4" w:space="0"/>
              <w:right w:val="single" w:color="auto" w:sz="4" w:space="0"/>
            </w:tcBorders>
            <w:shd w:val="clear" w:color="auto" w:fill="auto"/>
            <w:vAlign w:val="center"/>
          </w:tcPr>
          <w:p w14:paraId="19BC4924">
            <w:pPr>
              <w:pStyle w:val="44"/>
              <w:spacing w:line="240" w:lineRule="auto"/>
              <w:jc w:val="center"/>
              <w:rPr>
                <w:rFonts w:hint="default" w:ascii="仿宋" w:hAnsi="仿宋" w:eastAsia="仿宋" w:cs="仿宋"/>
                <w:color w:val="auto"/>
                <w:sz w:val="28"/>
                <w:highlight w:val="none"/>
                <w:lang w:val="en-US" w:eastAsia="zh-CN"/>
              </w:rPr>
            </w:pPr>
            <w:r>
              <w:rPr>
                <w:rFonts w:hint="eastAsia" w:ascii="仿宋" w:hAnsi="仿宋" w:eastAsia="仿宋" w:cs="仿宋"/>
                <w:color w:val="auto"/>
                <w:sz w:val="28"/>
                <w:highlight w:val="none"/>
                <w:lang w:val="en-US" w:eastAsia="zh-CN"/>
              </w:rPr>
              <w:t>1.64</w:t>
            </w:r>
          </w:p>
        </w:tc>
        <w:tc>
          <w:tcPr>
            <w:tcW w:w="918" w:type="pct"/>
            <w:tcBorders>
              <w:top w:val="single" w:color="auto" w:sz="4" w:space="0"/>
              <w:left w:val="single" w:color="auto" w:sz="4" w:space="0"/>
              <w:bottom w:val="single" w:color="auto" w:sz="4" w:space="0"/>
              <w:right w:val="single" w:color="auto" w:sz="4" w:space="0"/>
            </w:tcBorders>
            <w:shd w:val="clear" w:color="auto" w:fill="auto"/>
            <w:vAlign w:val="center"/>
          </w:tcPr>
          <w:p w14:paraId="3BF560E2">
            <w:pPr>
              <w:adjustRightInd w:val="0"/>
              <w:snapToGrid w:val="0"/>
              <w:spacing w:line="240" w:lineRule="auto"/>
              <w:ind w:firstLine="0" w:firstLineChars="0"/>
              <w:jc w:val="center"/>
              <w:rPr>
                <w:rFonts w:hint="default" w:ascii="仿宋" w:hAnsi="仿宋" w:eastAsia="仿宋" w:cs="仿宋"/>
                <w:bCs/>
                <w:color w:val="auto"/>
                <w:szCs w:val="28"/>
                <w:highlight w:val="none"/>
                <w:lang w:val="en-US" w:eastAsia="zh-CN"/>
              </w:rPr>
            </w:pPr>
            <w:r>
              <w:rPr>
                <w:rFonts w:hint="eastAsia" w:ascii="仿宋" w:hAnsi="仿宋" w:eastAsia="仿宋" w:cs="仿宋"/>
                <w:bCs/>
                <w:color w:val="auto"/>
                <w:szCs w:val="28"/>
                <w:highlight w:val="none"/>
                <w:lang w:val="en-US" w:eastAsia="zh-CN"/>
              </w:rPr>
              <w:t>0.80</w:t>
            </w:r>
          </w:p>
        </w:tc>
        <w:tc>
          <w:tcPr>
            <w:tcW w:w="1030" w:type="pct"/>
            <w:tcBorders>
              <w:top w:val="single" w:color="auto" w:sz="4" w:space="0"/>
              <w:left w:val="single" w:color="auto" w:sz="4" w:space="0"/>
              <w:bottom w:val="single" w:color="auto" w:sz="4" w:space="0"/>
              <w:right w:val="single" w:color="auto" w:sz="4" w:space="0"/>
            </w:tcBorders>
            <w:shd w:val="clear" w:color="auto" w:fill="auto"/>
            <w:vAlign w:val="center"/>
          </w:tcPr>
          <w:p w14:paraId="220EA978">
            <w:pPr>
              <w:snapToGrid w:val="0"/>
              <w:spacing w:line="240" w:lineRule="auto"/>
              <w:ind w:firstLine="0" w:firstLineChars="0"/>
              <w:jc w:val="center"/>
              <w:rPr>
                <w:rFonts w:hint="default" w:ascii="仿宋" w:hAnsi="仿宋" w:eastAsia="仿宋" w:cs="仿宋"/>
                <w:color w:val="auto"/>
                <w:szCs w:val="28"/>
                <w:highlight w:val="none"/>
                <w:lang w:val="en-US" w:eastAsia="zh-CN"/>
              </w:rPr>
            </w:pPr>
            <w:r>
              <w:rPr>
                <w:rFonts w:hint="eastAsia" w:ascii="仿宋" w:hAnsi="仿宋" w:eastAsia="仿宋" w:cs="仿宋"/>
                <w:color w:val="auto"/>
                <w:szCs w:val="28"/>
                <w:highlight w:val="none"/>
                <w:lang w:val="en-US" w:eastAsia="zh-CN"/>
              </w:rPr>
              <w:t>0.84</w:t>
            </w:r>
          </w:p>
        </w:tc>
        <w:tc>
          <w:tcPr>
            <w:tcW w:w="1174" w:type="pct"/>
            <w:tcBorders>
              <w:top w:val="single" w:color="auto" w:sz="4" w:space="0"/>
              <w:left w:val="single" w:color="auto" w:sz="4" w:space="0"/>
              <w:bottom w:val="single" w:color="auto" w:sz="4" w:space="0"/>
              <w:right w:val="single" w:color="auto" w:sz="4" w:space="0"/>
            </w:tcBorders>
            <w:shd w:val="clear" w:color="auto" w:fill="auto"/>
            <w:vAlign w:val="center"/>
          </w:tcPr>
          <w:p w14:paraId="70C0C712">
            <w:pPr>
              <w:widowControl/>
              <w:spacing w:line="240" w:lineRule="auto"/>
              <w:ind w:firstLine="0" w:firstLineChars="0"/>
              <w:jc w:val="center"/>
              <w:rPr>
                <w:rFonts w:hint="default" w:ascii="仿宋" w:hAnsi="仿宋" w:eastAsia="仿宋" w:cs="仿宋"/>
                <w:color w:val="auto"/>
                <w:kern w:val="0"/>
                <w:szCs w:val="28"/>
                <w:highlight w:val="none"/>
                <w:lang w:val="en-US" w:eastAsia="zh-CN"/>
              </w:rPr>
            </w:pPr>
            <w:r>
              <w:rPr>
                <w:rFonts w:hint="eastAsia" w:ascii="仿宋" w:hAnsi="仿宋" w:eastAsia="仿宋" w:cs="仿宋"/>
                <w:color w:val="auto"/>
                <w:kern w:val="0"/>
                <w:szCs w:val="28"/>
                <w:highlight w:val="none"/>
                <w:lang w:val="en-US" w:eastAsia="zh-CN"/>
              </w:rPr>
              <w:t>2.89</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14:paraId="6CFF8988">
            <w:pPr>
              <w:snapToGrid w:val="0"/>
              <w:spacing w:line="240" w:lineRule="auto"/>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满足</w:t>
            </w:r>
          </w:p>
        </w:tc>
      </w:tr>
    </w:tbl>
    <w:p w14:paraId="65753756">
      <w:pPr>
        <w:pStyle w:val="35"/>
        <w:numPr>
          <w:ilvl w:val="0"/>
          <w:numId w:val="1"/>
        </w:numPr>
        <w:adjustRightInd w:val="0"/>
        <w:snapToGrid w:val="0"/>
        <w:ind w:firstLineChars="0"/>
        <w:outlineLvl w:val="0"/>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管材、基础、接口及附属构筑物</w:t>
      </w:r>
    </w:p>
    <w:p w14:paraId="0231351F">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lang w:val="en-US" w:eastAsia="zh-CN"/>
        </w:rPr>
        <w:t>4</w:t>
      </w:r>
      <w:r>
        <w:rPr>
          <w:rFonts w:hint="eastAsia" w:ascii="仿宋" w:hAnsi="仿宋" w:eastAsia="仿宋" w:cs="仿宋"/>
          <w:b/>
          <w:color w:val="auto"/>
          <w:szCs w:val="28"/>
          <w:highlight w:val="none"/>
        </w:rPr>
        <w:t>.1 管材及基础</w:t>
      </w:r>
    </w:p>
    <w:p w14:paraId="354D1A1C">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（1）管材</w:t>
      </w:r>
    </w:p>
    <w:p w14:paraId="093F0618">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根据重庆市建委颁发的《重庆市建设领域禁止、限制使用落后技术通告（2019年版）》（2019.11.18）的规定，从技术经济等多方面综合考虑，本次设计d≥300mm的排水管采用纤维增强聚丙烯（FRPP）加筋管，斜管跌落段及覆土不足0.7m段采用球墨铸铁管。雨水口连接管采用国标Ⅱ级钢筋砼管。</w:t>
      </w:r>
    </w:p>
    <w:p w14:paraId="3685B267">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本工程中所标注排水管道大小均指管道内径。</w:t>
      </w:r>
    </w:p>
    <w:p w14:paraId="64B430B0">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纤维增强聚丙烯（FRPP）加筋管埋深小于4.0m，环刚度SN≥8000N/㎡；埋深4.0m～6.0m之间，环刚度SN≥10000N/㎡;管道埋深在6.0～10.0m之间，环刚度SN≥12500N/m2。</w:t>
      </w:r>
    </w:p>
    <w:p w14:paraId="4B3BCC05">
      <w:pPr>
        <w:ind w:firstLine="560"/>
        <w:rPr>
          <w:rFonts w:hint="eastAsia" w:ascii="仿宋" w:hAnsi="仿宋" w:eastAsia="仿宋" w:cs="仿宋"/>
          <w:color w:val="auto"/>
          <w:szCs w:val="28"/>
          <w:highlight w:val="none"/>
        </w:rPr>
      </w:pPr>
      <w:bookmarkStart w:id="70" w:name="_Hlk33717786"/>
      <w:r>
        <w:rPr>
          <w:rFonts w:hint="eastAsia" w:ascii="仿宋" w:hAnsi="仿宋" w:eastAsia="仿宋" w:cs="仿宋"/>
          <w:color w:val="auto"/>
          <w:szCs w:val="28"/>
          <w:highlight w:val="none"/>
        </w:rPr>
        <w:t>根据《埋地塑料排水管道工程技术规范》（CJJ143-2016）4.1.3要求，塑料排水管道设计使用年限不应小于50年。</w:t>
      </w:r>
      <w:bookmarkEnd w:id="70"/>
      <w:r>
        <w:rPr>
          <w:rFonts w:hint="eastAsia" w:ascii="仿宋" w:hAnsi="仿宋" w:eastAsia="仿宋" w:cs="仿宋"/>
          <w:color w:val="auto"/>
          <w:szCs w:val="28"/>
          <w:highlight w:val="none"/>
        </w:rPr>
        <w:t>纤维增强聚丙烯（FRPP）加筋管制造及安装应符合现行行业标准《埋地用纤维增强聚丙烯(FRPP)加筋管材》（QB/T4011-2010）的规定及各企业的产品标准及安装操作手册。</w:t>
      </w:r>
      <w:bookmarkStart w:id="71" w:name="_Hlk33717820"/>
      <w:r>
        <w:rPr>
          <w:rFonts w:hint="eastAsia" w:ascii="仿宋" w:hAnsi="仿宋" w:eastAsia="仿宋" w:cs="仿宋"/>
          <w:color w:val="auto"/>
          <w:szCs w:val="28"/>
          <w:highlight w:val="none"/>
        </w:rPr>
        <w:t>塑料排水管道进场时，应按照相关标准规范进行见证取样抽检，检测参数包括规格尺寸、环刚度、环柔度、冲击强度等项目</w:t>
      </w:r>
      <w:bookmarkEnd w:id="71"/>
      <w:r>
        <w:rPr>
          <w:rFonts w:hint="eastAsia" w:ascii="仿宋" w:hAnsi="仿宋" w:eastAsia="仿宋" w:cs="仿宋"/>
          <w:color w:val="auto"/>
          <w:szCs w:val="28"/>
          <w:highlight w:val="none"/>
        </w:rPr>
        <w:t>。钢筋混凝土管产品必须符合《混凝土和钢筋混凝土排水管》(GB/T11836-2023)要求。</w:t>
      </w:r>
    </w:p>
    <w:p w14:paraId="2D812C0F">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球墨铸铁管应符合《水及燃气用球墨铸铁管、管件和附件》（GB/T 13295-2013）、《排水工程用球墨铸铁管、管件和附件》（GB/T 26081-2022）要求，及行业产品标准及安装操作手册。</w:t>
      </w:r>
    </w:p>
    <w:p w14:paraId="6A1C272F">
      <w:pPr>
        <w:ind w:firstLine="562"/>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rPr>
        <w:t>所选材料应为符合国家及省、市有关部门相关标准、规范的合格产品，优先采用具有国家通用标准的管材。</w:t>
      </w:r>
    </w:p>
    <w:p w14:paraId="7121EBCB">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（2）管道接口及基础</w:t>
      </w:r>
    </w:p>
    <w:p w14:paraId="60EB747C">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雨水口连接管采用承插式柔性接口，基础采用360°混凝土满包基础。</w:t>
      </w:r>
    </w:p>
    <w:p w14:paraId="41F9BBB4">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球墨铸铁管采用T型橡胶圈接口，基础为素土基础，覆土不足0.7m管段采用360°混凝土满包基础。</w:t>
      </w:r>
    </w:p>
    <w:p w14:paraId="6D084AD0">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纤维增强聚丙烯（FRPP）加筋管采用弹性密封圈承插连接，管顶覆土深度在0.7~3.5m的纤维增强聚丙烯（FRPP）加筋管采用120°砂石垫层基础；覆土在3.5~6.0m的纤维增强聚丙烯（FRPP）加筋管采用180°砂石垫层基础。塑料排水管与检查井连接均采用柔性连接，做法详见管道沟槽开挖及回填大样图。</w:t>
      </w:r>
    </w:p>
    <w:p w14:paraId="187C15E1">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lang w:val="en-US" w:eastAsia="zh-CN"/>
        </w:rPr>
        <w:t>4</w:t>
      </w:r>
      <w:r>
        <w:rPr>
          <w:rFonts w:hint="eastAsia" w:ascii="仿宋" w:hAnsi="仿宋" w:eastAsia="仿宋" w:cs="仿宋"/>
          <w:b/>
          <w:color w:val="auto"/>
          <w:szCs w:val="28"/>
          <w:highlight w:val="none"/>
        </w:rPr>
        <w:t>.2 检查井</w:t>
      </w:r>
    </w:p>
    <w:p w14:paraId="700794B6">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1、普通检查井</w:t>
      </w:r>
    </w:p>
    <w:p w14:paraId="1F9E0D2B">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（1）管道交汇处、转弯处、管径或坡度改变处、跌水处以及直线管段上每隔一定距离设置检查井。</w:t>
      </w:r>
    </w:p>
    <w:p w14:paraId="0A12E495">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（2）雨、污水检查井采用混凝土、钢筋混凝土检查井，埋深≤2m检查井做法详见浅型检查井大样图。2m＜埋深≤6m检查井做法详见普通检查井大样图。检查井参照设计大样图，爬梯均采用球墨铸铁成品爬梯。</w:t>
      </w:r>
    </w:p>
    <w:p w14:paraId="6CE8E7B0">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3）本次设计检查井统一采用球墨铸铁五防井盖及井座（防响、防跳、防盗、防坠落、防位移）；按承载能力，人行道上最低选用C250类型，车行道上最低选用D400类型。井座采用圆形，井盖采用圆形。所选井盖应符合国家标准《检查井盖》（GB/T 23858-2009）的要求。</w:t>
      </w:r>
    </w:p>
    <w:p w14:paraId="7A1D152D">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检查井盖采用φ700，井盖面应分别有"雨"、"污"标志，施工时不得错盖。设于车行道和人行道下的检查井井盖顶面与路面齐平，设于绿化带下的检查井井盖顶面可高于地面0.3m。</w:t>
      </w:r>
    </w:p>
    <w:p w14:paraId="6E7FE9D3">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（4）当检查井在车行道下时，应采取加固处理，做法详见本设计图纸《车行道检查井周边路面加固大样图》。</w:t>
      </w:r>
    </w:p>
    <w:p w14:paraId="53BB07B0">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5）为防止井盖损坏或缺失后行人不慎跌入，在井盖下方井口处安装防护网。防坠落装置应牢固可靠，用螺栓固定在井筒壁上。考虑到检查井内潮湿，含有腐蚀性气体，螺栓采用不锈钢材料，提高防护网的安全系数。防护网采用高强度材料，直径8mm，每个正方形网格的边长均为8厘米，承重能力大于等于100kg。防坠落材质可选用聚乙烯塑料绳、高强度工业丝、涤纶丝、维纶丝、锦纶丝等高强度且防腐蚀的材料。本次设计新建、改造检查井均配套防坠网，具体做法详见防坠网大样图。</w:t>
      </w:r>
    </w:p>
    <w:p w14:paraId="50C64C08">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（6）关于检查井通风，本次设计采用使用成品检查井盖上孔眼进行换气通风的做法，开孔不小于2个，孔眼直径不小于30mm，并建成后的使用养护过程中，加强排查，确保孔未被堵塞，通气顺畅。</w:t>
      </w:r>
    </w:p>
    <w:p w14:paraId="37ABE4F9">
      <w:pPr>
        <w:ind w:firstLine="562"/>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rPr>
        <w:t>检查井应具备防坠落性能，井盖应具备防盗窃性能，井盖和井座应满足所处环境所需承载力和稳定性要求。</w:t>
      </w:r>
    </w:p>
    <w:p w14:paraId="2EE3121A">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lang w:val="en-US" w:eastAsia="zh-CN"/>
        </w:rPr>
        <w:t>4</w:t>
      </w:r>
      <w:r>
        <w:rPr>
          <w:rFonts w:hint="eastAsia" w:ascii="仿宋" w:hAnsi="仿宋" w:eastAsia="仿宋" w:cs="仿宋"/>
          <w:b/>
          <w:color w:val="auto"/>
          <w:szCs w:val="28"/>
          <w:highlight w:val="none"/>
        </w:rPr>
        <w:t>.</w:t>
      </w:r>
      <w:r>
        <w:rPr>
          <w:rFonts w:hint="eastAsia" w:ascii="仿宋" w:hAnsi="仿宋" w:eastAsia="仿宋" w:cs="仿宋"/>
          <w:b/>
          <w:color w:val="auto"/>
          <w:szCs w:val="28"/>
          <w:highlight w:val="none"/>
          <w:lang w:val="en-US" w:eastAsia="zh-CN"/>
        </w:rPr>
        <w:t>3沉砂</w:t>
      </w:r>
      <w:r>
        <w:rPr>
          <w:rFonts w:hint="eastAsia" w:ascii="仿宋" w:hAnsi="仿宋" w:eastAsia="仿宋" w:cs="仿宋"/>
          <w:b/>
          <w:color w:val="auto"/>
          <w:szCs w:val="28"/>
          <w:highlight w:val="none"/>
        </w:rPr>
        <w:t>井</w:t>
      </w:r>
    </w:p>
    <w:p w14:paraId="7C33C321">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本次设计沉砂井及其与管道连接处做法做法参照本次设计大样图。</w:t>
      </w:r>
    </w:p>
    <w:p w14:paraId="1F9BE32C">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lang w:val="en-US" w:eastAsia="zh-CN"/>
        </w:rPr>
        <w:t>4</w:t>
      </w:r>
      <w:r>
        <w:rPr>
          <w:rFonts w:hint="eastAsia" w:ascii="仿宋" w:hAnsi="仿宋" w:eastAsia="仿宋" w:cs="仿宋"/>
          <w:b/>
          <w:color w:val="auto"/>
          <w:szCs w:val="28"/>
          <w:highlight w:val="none"/>
        </w:rPr>
        <w:t>.</w:t>
      </w:r>
      <w:r>
        <w:rPr>
          <w:rFonts w:hint="eastAsia" w:ascii="仿宋" w:hAnsi="仿宋" w:eastAsia="仿宋" w:cs="仿宋"/>
          <w:b/>
          <w:color w:val="auto"/>
          <w:szCs w:val="28"/>
          <w:highlight w:val="none"/>
          <w:lang w:val="en-US" w:eastAsia="zh-CN"/>
        </w:rPr>
        <w:t>4</w:t>
      </w:r>
      <w:r>
        <w:rPr>
          <w:rFonts w:hint="eastAsia" w:ascii="仿宋" w:hAnsi="仿宋" w:eastAsia="仿宋" w:cs="仿宋"/>
          <w:b/>
          <w:color w:val="auto"/>
          <w:szCs w:val="28"/>
          <w:highlight w:val="none"/>
        </w:rPr>
        <w:t>排水管道及检查井的废除</w:t>
      </w:r>
    </w:p>
    <w:p w14:paraId="3EC81317">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对于需废除现状排水管、雨水口及检查井，原则上为开挖拆除雨水管，并采用砂石回填，压实度应满足道路相关要求。</w:t>
      </w:r>
    </w:p>
    <w:p w14:paraId="06DB71EE">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当现状排水管埋深较深，且开挖面对附近其他现状管线影响较大的，采用C30砼充填检查井与管道。</w:t>
      </w:r>
    </w:p>
    <w:p w14:paraId="29F079F2">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lang w:val="en-US" w:eastAsia="zh-CN"/>
        </w:rPr>
        <w:t>4</w:t>
      </w:r>
      <w:r>
        <w:rPr>
          <w:rFonts w:hint="eastAsia" w:ascii="仿宋" w:hAnsi="仿宋" w:eastAsia="仿宋" w:cs="仿宋"/>
          <w:b/>
          <w:color w:val="auto"/>
          <w:szCs w:val="28"/>
          <w:highlight w:val="none"/>
        </w:rPr>
        <w:t>.</w:t>
      </w:r>
      <w:r>
        <w:rPr>
          <w:rFonts w:hint="eastAsia" w:ascii="仿宋" w:hAnsi="仿宋" w:eastAsia="仿宋" w:cs="仿宋"/>
          <w:b/>
          <w:color w:val="auto"/>
          <w:szCs w:val="28"/>
          <w:highlight w:val="none"/>
          <w:lang w:val="en-US" w:eastAsia="zh-CN"/>
        </w:rPr>
        <w:t>5</w:t>
      </w:r>
      <w:r>
        <w:rPr>
          <w:rFonts w:hint="eastAsia" w:ascii="仿宋" w:hAnsi="仿宋" w:eastAsia="仿宋" w:cs="仿宋"/>
          <w:b/>
          <w:color w:val="auto"/>
          <w:szCs w:val="28"/>
          <w:highlight w:val="none"/>
        </w:rPr>
        <w:t>现状管网处置</w:t>
      </w:r>
    </w:p>
    <w:p w14:paraId="11E2B7A0">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（1）管线迁改与保护</w:t>
      </w:r>
    </w:p>
    <w:p w14:paraId="36EB82EA">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本改造项目建设方暂未提供现状综合管线资料，经现场踏勘，区域内道路下现状综合管线（排水、给水、燃气、电力、通信等）错综复杂，对本次新建排水管道的实施影响较大。为减少综合管线对本项目实施的影响，施工时，施工方需根据沟槽开挖断面的具体宽度来确定受影响的现状综合管线临时迁改或保护的措施及其工程量，优先选择临时支撑保护；若因影响施工作业而需迁改现状综合管线，需在临时迁改新通道建设完毕之前，保证原通道工作畅通，不影响周边市政水、电、气的供应。受影响现状管线保护时，覆土不足0.7m的PE材质或球墨铸铁材质的给水、燃气压力管线，需加设钢套管（钢管管径放大一级，沿管中心线切开、卡箍合拢、两端管口用沥青板及用浸过沥青的麻絮堵严）。</w:t>
      </w:r>
    </w:p>
    <w:p w14:paraId="65824335">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另外，新建排水管道实施过程中，若遇到现状管线检查井、消火栓、阀门井等需要临时迁改或破坏，则在管道实施完毕后，需对现状井做原样恢复，恢复时并对原混凝土盖板类井盖、塑料材质类井盖替换为铸铁材质井盖，但电缆沟盖板除外。</w:t>
      </w:r>
    </w:p>
    <w:p w14:paraId="37E3FA51">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本次设计仅统计现状综合管线迁改与保护项，参照做法详大样图，具体迁改与保护方案由施工方根据沟槽开挖具体情况制定，迁改与保护方案需经过建设方、监理方、设计单位、管线权属单位的认可后方可实施。</w:t>
      </w:r>
    </w:p>
    <w:p w14:paraId="07C5A26B">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（2）现状排水管道变更排水性质</w:t>
      </w:r>
    </w:p>
    <w:p w14:paraId="4C56884C">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根据片区排水系统需要，设计对部分道路下现状排水管道变更了排水性质（如雨水管改为污水管，或污水管改为雨水管）。施工时，需按照设计要求，对变更了排水性质的管段进行逐一核查，拆除错接的支管，完成整条管道的雨污分流。</w:t>
      </w:r>
    </w:p>
    <w:p w14:paraId="1651C1C1">
      <w:pPr>
        <w:pStyle w:val="35"/>
        <w:numPr>
          <w:ilvl w:val="0"/>
          <w:numId w:val="1"/>
        </w:numPr>
        <w:adjustRightInd w:val="0"/>
        <w:snapToGrid w:val="0"/>
        <w:ind w:firstLineChars="0"/>
        <w:outlineLvl w:val="0"/>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抗震设计</w:t>
      </w:r>
    </w:p>
    <w:p w14:paraId="0902D5BF">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根据《中国地震动参数区划图》（GB18306-2015）和《建筑抗震设计规范》（GB50011-2010-2016年版）附录A可知，拟建场区抗震设防烈度为6度区，设计基本地震加速度值为0.05g，设计地震分组为第一组。</w:t>
      </w:r>
    </w:p>
    <w:p w14:paraId="67CC4896">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根据《室外给水排水和燃气热力工程抗震设计规范》（GB50032-2003）第10.1.4、第5.1.11.1条及10.3.6条要求：</w:t>
      </w:r>
    </w:p>
    <w:p w14:paraId="1485DE58">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（1）设防烈度6度、7度，符合7度抗震构造要求的埋地雨、污水管道结构可不进行抗震验算；</w:t>
      </w:r>
    </w:p>
    <w:p w14:paraId="029A7A19">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（2）对管道和构筑物结构的抗震验算，设防烈度为6度或本规范有关各章节规定不验算，可不进行截面抗震验算。</w:t>
      </w:r>
    </w:p>
    <w:p w14:paraId="4698F6ED">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（3）同时管道抗震设计考虑采取以下措施：</w:t>
      </w:r>
    </w:p>
    <w:p w14:paraId="2C99E4E3">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在下列部位应设置柔性接头及变形缝：</w:t>
      </w:r>
    </w:p>
    <w:p w14:paraId="6A92E69C">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a地基土质突变处；</w:t>
      </w:r>
    </w:p>
    <w:p w14:paraId="1D958374">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b穿越铁路及其他重要的交通干线两端；</w:t>
      </w:r>
    </w:p>
    <w:p w14:paraId="5F5C782F">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c承插式管道的三通、四通、大于45°的弯头等附件与直线管段连接处。</w:t>
      </w:r>
    </w:p>
    <w:p w14:paraId="7612DFBC">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本次设计排水管道纤维增强聚丙烯（FRPP）加筋管接口为扩口承插连接-T型橡胶圈密封，钢筋混凝土管接口为橡胶圈承插式连接，连接处均为柔性构造，接头填料为柔性材料，管道整体性较好。</w:t>
      </w:r>
    </w:p>
    <w:p w14:paraId="3FB83134">
      <w:pPr>
        <w:pStyle w:val="35"/>
        <w:numPr>
          <w:ilvl w:val="0"/>
          <w:numId w:val="1"/>
        </w:numPr>
        <w:adjustRightInd w:val="0"/>
        <w:snapToGrid w:val="0"/>
        <w:ind w:firstLineChars="0"/>
        <w:outlineLvl w:val="0"/>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管道施工</w:t>
      </w:r>
    </w:p>
    <w:p w14:paraId="625D2E0A">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lang w:val="en-US" w:eastAsia="zh-CN"/>
        </w:rPr>
        <w:t>5</w:t>
      </w:r>
      <w:r>
        <w:rPr>
          <w:rFonts w:hint="eastAsia" w:ascii="仿宋" w:hAnsi="仿宋" w:eastAsia="仿宋" w:cs="仿宋"/>
          <w:b/>
          <w:color w:val="auto"/>
          <w:szCs w:val="28"/>
          <w:highlight w:val="none"/>
        </w:rPr>
        <w:t>.1施工放线</w:t>
      </w:r>
    </w:p>
    <w:p w14:paraId="16F44F10">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本工程排水管道放线均按检查井坐标表严格放线，检查井坐标点为主线管道轴线投影与检查井横轴线交点。</w:t>
      </w:r>
    </w:p>
    <w:p w14:paraId="2C84CB06">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污水上下游管线必须接顺。设计要求在施工放线时首先复核上下游现状管渠、接纳水体等的位置、标高、断面尺寸等，若与设计有不符之处，必须立即通知设计单位研究处理。</w:t>
      </w:r>
    </w:p>
    <w:p w14:paraId="78BC5F16">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lang w:val="en-US" w:eastAsia="zh-CN"/>
        </w:rPr>
        <w:t>5</w:t>
      </w:r>
      <w:r>
        <w:rPr>
          <w:rFonts w:hint="eastAsia" w:ascii="仿宋" w:hAnsi="仿宋" w:eastAsia="仿宋" w:cs="仿宋"/>
          <w:b/>
          <w:color w:val="auto"/>
          <w:szCs w:val="28"/>
          <w:highlight w:val="none"/>
        </w:rPr>
        <w:t>.2沟槽开挖</w:t>
      </w:r>
    </w:p>
    <w:p w14:paraId="6705F4CB">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管沟槽开挖放坡坡比根据所开挖的地质岩层情况和地勘报告确定，同时应满足《给水排水管道工程施工及验收规范》（GB 50268-2008）第4.3条的要求。排水管沟沟槽开挖要求及开挖时工作面宽度详见管道沟槽开挖断面图。若有地下水及地质不良处增加基槽的支撑和增大放坡则由施工组织设计确定，具体详《给水排水管道工程施工及验收规范》（GB50268-2008）规定。如果现场条件不允许，必须采取加支撑等措施。考虑到老城区道路狭窄，车流量。人流量较大，在施工安全条件允许下应增加支撑等措施，减小放坡系数。</w:t>
      </w:r>
    </w:p>
    <w:p w14:paraId="2A1CF0E3">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若遇流砂、淤泥、松散杂土及回填土等软地基时应采取清淤换填等换填措施，使之达到设计要求的地基承载力。换填深度根据现场情况由建设、监理、施工以及设计院等单位有关人员共同商定。</w:t>
      </w:r>
    </w:p>
    <w:p w14:paraId="728A4229">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出户管道埋深暂定为0.5m，沟槽开挖工作面宽度为200mm。</w:t>
      </w:r>
    </w:p>
    <w:p w14:paraId="6C66E293">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本工程实施区域均为建成区，新建管道周边现状地下管线密集，地上地下建构筑物、较大胸径乔木较多，道路车流量较大，大部分管道无法按《沟槽开挖大样图》及《给水排水管道工程施工及验收规范》（GB 50268-2008）坡率放坡开挖，本次设计考虑对部分开挖修复管道采取支护措施进行开挖。</w:t>
      </w:r>
    </w:p>
    <w:p w14:paraId="7D7CC50A">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本次设计对车行道下沟槽深度大于3.0m且需要支护的管段采用钢管桩支护，做法详见大样图。</w:t>
      </w:r>
    </w:p>
    <w:p w14:paraId="1E86FF80">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lang w:val="en-US" w:eastAsia="zh-CN"/>
        </w:rPr>
        <w:t>5</w:t>
      </w:r>
      <w:r>
        <w:rPr>
          <w:rFonts w:hint="eastAsia" w:ascii="仿宋" w:hAnsi="仿宋" w:eastAsia="仿宋" w:cs="仿宋"/>
          <w:b/>
          <w:color w:val="auto"/>
          <w:szCs w:val="28"/>
          <w:highlight w:val="none"/>
        </w:rPr>
        <w:t>.3地基处理</w:t>
      </w:r>
    </w:p>
    <w:p w14:paraId="0BF64CE1">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排水管道布置在道路路基范围内，地基处理按道路路基处理执行。</w:t>
      </w:r>
    </w:p>
    <w:p w14:paraId="7F4E06D8">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管道及构筑物地基承载力不小于0.15Mpa。沟槽在填方地段、地基受到扰动或沟槽超挖的，管道基础以下必须分层夯实回填，密实度不小于90%。地基承载力达不到要求的，需对管道下方土层采用换土回填级配碎石进行换填，换填深度按2m考虑，换填宽度为管道两侧各0.5m，根据现场情况由建设、监理、施工以及设计院等单位有关人员共同商定。</w:t>
      </w:r>
    </w:p>
    <w:p w14:paraId="33E4371E">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lang w:val="en-US" w:eastAsia="zh-CN"/>
        </w:rPr>
        <w:t>5</w:t>
      </w:r>
      <w:r>
        <w:rPr>
          <w:rFonts w:hint="eastAsia" w:ascii="仿宋" w:hAnsi="仿宋" w:eastAsia="仿宋" w:cs="仿宋"/>
          <w:b/>
          <w:color w:val="auto"/>
          <w:szCs w:val="28"/>
          <w:highlight w:val="none"/>
        </w:rPr>
        <w:t>.4沟槽回填</w:t>
      </w:r>
    </w:p>
    <w:p w14:paraId="75FAE72B">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1）沟槽回填时，需对称回填并分层压实。管底基础至管顶以上0.5m且不小于一倍管径范围内，必须采用人工回填，轻型压实设备夯实，不得采用机械推土回填；回填、夯实应分层对称进行，每层回填土松铺厚度不应大于250mm，每层回填土压实后高度不应大于200mm，不得单侧回填、夯实；管顶0.5m以上采用机械回填压实时，应从管轴线两侧同时均匀进行，并夯实、碾压。管径大于800mm回填设置竖向支撑。回填必须在管及结构物强度达到设计强度的90%以后才可进行。</w:t>
      </w:r>
    </w:p>
    <w:p w14:paraId="0BF6648B">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（2）槽底至管顶以上1m范围内，回填不得含有机物及大于50mm的砖、石等硬块。在抹带接口处应采用细粒土回填。</w:t>
      </w:r>
    </w:p>
    <w:p w14:paraId="56EFF1CF">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（3）排水管道沟槽回填时，柔性排水管道管胸腔两侧及管顶回填土的压实系数详柔性管道沟槽回填大样图；混凝土排水管道管胸腔两侧及管顶回填土的压实系数按照《给水排水管道工程施工及验收规范》（GB 50268-2008）第4.6条相关规定执行。排水管道沟槽回填的填料、回填方法及其他要求严格按照《给水排水管道工程施工及验收规范》（GB 50268-2008）第4.5条相关规定执行。</w:t>
      </w:r>
    </w:p>
    <w:p w14:paraId="5F8AD6F8">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（4）检查井周围的回填要求：</w:t>
      </w:r>
    </w:p>
    <w:p w14:paraId="353B912A">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a检查井砌体或现浇砼需达到设计强度后才允许回填。</w:t>
      </w:r>
    </w:p>
    <w:p w14:paraId="300F1ED5">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b井室及井筒周围的回填应与管沟槽回填同时进行。</w:t>
      </w:r>
    </w:p>
    <w:p w14:paraId="4DA152A6">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c井室及井筒周围回填压实时应沿井室中心对称进行，且不得漏夯。</w:t>
      </w:r>
    </w:p>
    <w:p w14:paraId="5601C1C2">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d井室及井筒周围0.5m范围内应采用中粗砂回填。</w:t>
      </w:r>
    </w:p>
    <w:p w14:paraId="4AE8CB41">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（5）未尽事项按图纸及相关规范要求执行。</w:t>
      </w:r>
    </w:p>
    <w:p w14:paraId="3981CEE2">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lang w:val="en-US" w:eastAsia="zh-CN"/>
        </w:rPr>
        <w:t>5</w:t>
      </w:r>
      <w:r>
        <w:rPr>
          <w:rFonts w:hint="eastAsia" w:ascii="仿宋" w:hAnsi="仿宋" w:eastAsia="仿宋" w:cs="仿宋"/>
          <w:b/>
          <w:color w:val="auto"/>
          <w:szCs w:val="28"/>
          <w:highlight w:val="none"/>
        </w:rPr>
        <w:t>.5道路开挖及恢复</w:t>
      </w:r>
    </w:p>
    <w:p w14:paraId="709BA49F">
      <w:pPr>
        <w:spacing w:line="372" w:lineRule="auto"/>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本次设计管道将对现状路面、人行道等构筑物造成破坏，破坏后按原结构及权属单位要求恢复，可暂参考本工程大样图进行预算。</w:t>
      </w:r>
    </w:p>
    <w:p w14:paraId="3CF91708">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lang w:val="en-US" w:eastAsia="zh-CN"/>
        </w:rPr>
        <w:t>5</w:t>
      </w:r>
      <w:r>
        <w:rPr>
          <w:rFonts w:hint="eastAsia" w:ascii="仿宋" w:hAnsi="仿宋" w:eastAsia="仿宋" w:cs="仿宋"/>
          <w:b/>
          <w:color w:val="auto"/>
          <w:szCs w:val="28"/>
          <w:highlight w:val="none"/>
        </w:rPr>
        <w:t>.6施工组织及安全设计</w:t>
      </w:r>
    </w:p>
    <w:p w14:paraId="75D384F2">
      <w:pPr>
        <w:pStyle w:val="29"/>
        <w:ind w:firstLine="28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（1）交通组织原则</w:t>
      </w:r>
    </w:p>
    <w:p w14:paraId="25AC4CCF">
      <w:pPr>
        <w:pStyle w:val="29"/>
        <w:ind w:firstLine="28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1）保持现状交通的原则</w:t>
      </w:r>
    </w:p>
    <w:p w14:paraId="74591F43">
      <w:pPr>
        <w:pStyle w:val="29"/>
        <w:ind w:firstLine="28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本项目为改建项目，改造区域类型多样；且在本项目内，车辆来往较少，施工期间道路采用断道施工；道路宽度足够时，采用半幅施工，施工路段进行单道双通的交通组织方式。</w:t>
      </w:r>
    </w:p>
    <w:p w14:paraId="7D54BCAD">
      <w:pPr>
        <w:pStyle w:val="29"/>
        <w:ind w:firstLine="28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2）自然分流与管制分流相结合的原则</w:t>
      </w:r>
    </w:p>
    <w:p w14:paraId="51ABDE34">
      <w:pPr>
        <w:pStyle w:val="29"/>
        <w:ind w:firstLine="28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通过广告宣传和交通管制，施工时应在改造项目涉及的道路前后有关交叉路口要设置明显的交通指示牌，引导车辆行驶，调节各线路交通量；施工路段禁止随意停车，以保证车辆顺畅行驶。</w:t>
      </w:r>
    </w:p>
    <w:p w14:paraId="40CAB6C5">
      <w:pPr>
        <w:pStyle w:val="29"/>
        <w:ind w:firstLine="28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（2）交通组织管理机构</w:t>
      </w:r>
    </w:p>
    <w:p w14:paraId="184AF5D8">
      <w:pPr>
        <w:pStyle w:val="29"/>
        <w:ind w:firstLine="28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为使交通组织方案全面落实、责任到人，成立相应的交通协调管理小组。交通协调管理小组由交警队、建设单位、监理单位、施工单位共同组成。交通协调管理小组和职责，主要是负责工程施工期间的交通组织管理，协调有关单位、人员之间的关系，检查处理有关交通组织问题等。</w:t>
      </w:r>
    </w:p>
    <w:p w14:paraId="30D35FBA">
      <w:pPr>
        <w:pStyle w:val="29"/>
        <w:ind w:firstLine="280"/>
        <w:rPr>
          <w:rFonts w:hint="eastAsia" w:ascii="仿宋" w:hAnsi="仿宋" w:eastAsia="仿宋" w:cs="仿宋"/>
          <w:color w:val="auto"/>
          <w:kern w:val="2"/>
          <w:sz w:val="28"/>
          <w:szCs w:val="28"/>
          <w:highlight w:val="none"/>
        </w:rPr>
      </w:pPr>
    </w:p>
    <w:p w14:paraId="7D27DB83">
      <w:pPr>
        <w:pStyle w:val="29"/>
        <w:ind w:firstLine="28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（3）交通组织方案</w:t>
      </w:r>
    </w:p>
    <w:p w14:paraId="4123772F">
      <w:pPr>
        <w:pStyle w:val="29"/>
        <w:ind w:firstLine="28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本工程多数路段位于两侧机动车道处，为了确保该项目道路施工的安全生产，为了尽量减少施工期间对交通的影响，为了尽少影响周围居民出行，依据《道路交通标志和标线 第4部分：作业区》(GB 5768.4-2017），本工程施工作业区应设置:警告区、过渡区、缓冲区、工作区、终止区。</w:t>
      </w:r>
    </w:p>
    <w:p w14:paraId="69CA9F33">
      <w:pPr>
        <w:pStyle w:val="29"/>
        <w:ind w:firstLine="28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①警告区:提示前方道路施工，使行车者注意前方交通变化，以便及时采取应对措施。警告区长度为40m最为合适。警告区内应依次设置通告、施工、道路变窄、限速、导向等标志。</w:t>
      </w:r>
    </w:p>
    <w:p w14:paraId="7C003AEA">
      <w:pPr>
        <w:pStyle w:val="29"/>
        <w:ind w:firstLine="28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②过渡区:起导流作用，引导车辆改变行驶方向，保证车辆平稳地从封闭车道的上游横向过渡到缓冲区旁边非封闭车道，便于变换车道或平稳调转。上游过渡区长度应大于等于30m。上游过渡区应设置锥形路标、导向标志。</w:t>
      </w:r>
    </w:p>
    <w:p w14:paraId="735FD77F">
      <w:pPr>
        <w:pStyle w:val="29"/>
        <w:ind w:firstLine="28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③缓冲区:上游过渡区与工作区之间的路段，引导车流有序改变行车方向。缓冲区最小距离宜取40m，但可以根据路况实际情况增加距离。缓冲区与工作区交界处设置锥形桶、路栏、黄闪灯、导向标志，并对工作区实施有效隔离。缓冲区内不准停放机器、材料、车辆，禁止工作人员停留，以避免由于车辆失控出现的事故。</w:t>
      </w:r>
    </w:p>
    <w:p w14:paraId="356C5413">
      <w:pPr>
        <w:pStyle w:val="29"/>
        <w:ind w:firstLine="28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④工作区:施工人员活动和工作的地方。根据截污工程拉管施工措施（见:截污工程施工专项方案）及施工作业所需要设置的作业区长度，现对上游工作区及下游工作区分别设立半封闭水码围挡。同时在上下游施工作业区两端分别指派执勤人看守，工作区内的沿线主要道口设置施工、禁超、限速标志。</w:t>
      </w:r>
    </w:p>
    <w:p w14:paraId="2F7718AA">
      <w:pPr>
        <w:pStyle w:val="29"/>
        <w:ind w:firstLine="28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⑤终止区：为通过或绕过养护维修作业地段的车辆提供一个调整行车状态的路段。在终止区的末端应设有关解除限速或超车的交通标志，这样可使驾驶员明白已经通过了养护维修作业地段，并恢复正常的行车状态。终止区最小长度宜取10～30m。</w:t>
      </w:r>
    </w:p>
    <w:p w14:paraId="7A241E24">
      <w:pPr>
        <w:pStyle w:val="29"/>
        <w:ind w:firstLine="28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（4）交通设施计划</w:t>
      </w:r>
    </w:p>
    <w:p w14:paraId="51D83B78">
      <w:pPr>
        <w:pStyle w:val="29"/>
        <w:ind w:firstLine="28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做好交通导行前的准备工作，按交管部门规定及《道路施工标志布设标准图》安放各种设施，如锥型导流桩、施工标志牌包括“前方施工”、“道路施工”、“车辆慢行”等，夜间施工期间应安放交通警示灯。</w:t>
      </w:r>
    </w:p>
    <w:p w14:paraId="2C0D6E3B">
      <w:pPr>
        <w:pStyle w:val="29"/>
        <w:ind w:firstLine="28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（5）建议</w:t>
      </w:r>
    </w:p>
    <w:p w14:paraId="45F45953">
      <w:pPr>
        <w:pStyle w:val="29"/>
        <w:ind w:firstLine="28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①项目施工期间配套完善施工预告标志、诱导标志、水泥隔离墩、LED线形诱导标等交通管理设施，同时严格落实人工管控措施后，能够降低施工对现状交通运行的影响，确保安全有序运行。</w:t>
      </w:r>
    </w:p>
    <w:p w14:paraId="5F442F34">
      <w:pPr>
        <w:pStyle w:val="29"/>
        <w:ind w:firstLine="28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②项目施工需结合各路段交通运行情况及结合道路通行条件，部分支路及通行条件良好的路段可全天占道施工；道路条件受限且交通流量较大的路段需在夜间22：00-6：00进行施工，白天恢复交通时，必须做好安全防护工作，保证交通运行安全畅通。</w:t>
      </w:r>
    </w:p>
    <w:p w14:paraId="5695F344">
      <w:pPr>
        <w:pStyle w:val="29"/>
        <w:ind w:firstLine="28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③交叉口及小区进出入口施工时，采用分段施工，同时预留进出车道。施工一段后立即进行隐蔽工程验收，然后立即进行沟槽回填，并覆盖钢板供车辆通行，再开挖铺设下一节管道。</w:t>
      </w:r>
    </w:p>
    <w:p w14:paraId="60B6090D">
      <w:pPr>
        <w:pStyle w:val="29"/>
        <w:ind w:firstLine="28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④本工程施工中，施工区域与非施工区域用标准移动式安全护栏分隔，为通行车辆预留行驶通道，并安排专人负责指挥交通，施工结束后收回所有临时护栏，砂石料集中堆放在不影响行人的地方，用临时护栏封闭围护并用绿网覆盖。</w:t>
      </w:r>
    </w:p>
    <w:p w14:paraId="7FE6BC1B">
      <w:pPr>
        <w:pStyle w:val="29"/>
        <w:ind w:firstLine="28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⑤施工每个特殊井、排管时，相应的路口派交通协警指挥。</w:t>
      </w:r>
    </w:p>
    <w:p w14:paraId="0A666BAF">
      <w:pPr>
        <w:pStyle w:val="29"/>
        <w:ind w:firstLine="28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⑥大型机械每天短驳至场地内，白天不占用车道。</w:t>
      </w:r>
    </w:p>
    <w:p w14:paraId="22D095CD">
      <w:pPr>
        <w:pStyle w:val="29"/>
        <w:ind w:firstLine="28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⑦施工前对沿线街道居委、企事业单位做好协调明示工作。在工程开工前，办齐相关证照，施工时及时与有关交警部门联系，并在明显处张贴安民告示，其内容包括施工内容、施工作业时间及投诉电话，在保证工程进度、施工质量的前提下，做到少扰民，尽可能将对施工区域周边的影响降到最低。在施工过程中如遇到交通问题，服从交警指挥。</w:t>
      </w:r>
    </w:p>
    <w:p w14:paraId="65B90F97">
      <w:pPr>
        <w:pStyle w:val="29"/>
        <w:ind w:firstLine="28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⑧施工前还应召开专题会议，征询交通管理部门意见，由施工单位编制详细的交通组织方案，上报交通管理部门论证审批后再行施工。</w:t>
      </w:r>
    </w:p>
    <w:p w14:paraId="1AAC670A">
      <w:pPr>
        <w:pStyle w:val="29"/>
        <w:ind w:firstLine="562" w:firstLineChars="200"/>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8"/>
          <w:szCs w:val="28"/>
          <w:highlight w:val="none"/>
        </w:rPr>
        <w:t>本次为设计阶段的施工期间交通组织设计，交通组织及临时设施设计仅作为参考，不用于直接施工，所有施工临时维持现场交通设施的工程量为暂定，最终工程量以实际发生为准。详细的施工期间交通组织及临时设施设计需在施工招标后，由施工单位结合施工方案及交通管理实际需求另行设计，并报交巡警审查通过后实施。</w:t>
      </w:r>
    </w:p>
    <w:p w14:paraId="77FC4ECC">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lang w:val="en-US" w:eastAsia="zh-CN"/>
        </w:rPr>
        <w:t>5</w:t>
      </w:r>
      <w:r>
        <w:rPr>
          <w:rFonts w:hint="eastAsia" w:ascii="仿宋" w:hAnsi="仿宋" w:eastAsia="仿宋" w:cs="仿宋"/>
          <w:b/>
          <w:color w:val="auto"/>
          <w:szCs w:val="28"/>
          <w:highlight w:val="none"/>
        </w:rPr>
        <w:t>.7现状管网处置</w:t>
      </w:r>
    </w:p>
    <w:p w14:paraId="4E8BDE83">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（1）管线迁改与保护</w:t>
      </w:r>
    </w:p>
    <w:p w14:paraId="11665CC7">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区域内道路下现状综合管线（排水、给水、燃气、电力、通信等）错综复杂，对本次新建排水管道的实施影响较大。本次设计新建排水管道的管位已根据现状综合管线物探资料尽量避开现状综合管线，但管道开挖断面将对部分现状综合管线产生影响。施工时，施工方需根据沟槽开挖断面的具体宽度来确定受影响的现状综合管线临时迁改或保护的措施及其工程量，优先选择临时支撑保护；若因影响施工作业而需迁改现状综合管线，需在临时迁改新通道建设完毕之前，保证原通道工作畅通，不影响周边市政水、电、气的供应。受影响现状管线保护时，覆土不足0.7m的PE材质或球墨铸铁材质的给水、燃气压力管线，需加设钢套管（钢管管径放大一级，沿管中心线切开、卡箍合拢、两端管口用沥青板及用浸过沥青的麻絮堵严）。</w:t>
      </w:r>
    </w:p>
    <w:p w14:paraId="0CE2C07A">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另外，新建排水管道实施过程中，若遇到现状管线检查井、消火栓、阀门井等需要临时迁改或破坏，则在管道实施完毕后，需对现状井做原样恢复，恢复时并对原混凝土盖板类井盖、塑料材质类井盖替换为铸铁材质井盖，但电缆沟盖板除外。</w:t>
      </w:r>
    </w:p>
    <w:p w14:paraId="0A6407FE">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本次设计仅统计现状综合管线迁改与保护工程量，参照做法详大样图，具体迁改与保护方案由施工方根据沟槽开挖具体情况制定，迁改与保护方案需经过建设方、监理方、设计单位、管线权属单位的认可后方可实施。</w:t>
      </w:r>
    </w:p>
    <w:p w14:paraId="12D98D4D">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（2）现状排水管道变更排水性质</w:t>
      </w:r>
    </w:p>
    <w:p w14:paraId="55A71480">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根据片区排水系统需要，设计对部分道路下现状排水管道变更了排水性质（如雨水管改为污水管，或污水管改为雨水管）。施工时，需按照设计要求，对变更了排水性质的管段进行逐一核查，拆除错接的支管，完成整条管道的雨污分流。</w:t>
      </w:r>
    </w:p>
    <w:p w14:paraId="3ADD8114">
      <w:pPr>
        <w:pStyle w:val="35"/>
        <w:numPr>
          <w:ilvl w:val="0"/>
          <w:numId w:val="1"/>
        </w:numPr>
        <w:adjustRightInd w:val="0"/>
        <w:snapToGrid w:val="0"/>
        <w:ind w:firstLineChars="0"/>
        <w:outlineLvl w:val="0"/>
        <w:rPr>
          <w:rFonts w:hint="eastAsia" w:ascii="仿宋" w:hAnsi="仿宋" w:eastAsia="仿宋" w:cs="仿宋"/>
          <w:b/>
          <w:color w:val="auto"/>
          <w:szCs w:val="28"/>
          <w:highlight w:val="none"/>
        </w:rPr>
      </w:pPr>
      <w:bookmarkStart w:id="72" w:name="_Toc131088449"/>
      <w:bookmarkStart w:id="73" w:name="_Toc126348457"/>
      <w:r>
        <w:rPr>
          <w:rFonts w:hint="eastAsia" w:ascii="仿宋" w:hAnsi="仿宋" w:eastAsia="仿宋" w:cs="仿宋"/>
          <w:b/>
          <w:color w:val="auto"/>
          <w:szCs w:val="28"/>
          <w:highlight w:val="none"/>
        </w:rPr>
        <w:t>结构工程设计</w:t>
      </w:r>
    </w:p>
    <w:p w14:paraId="7E76CD80">
      <w:pPr>
        <w:pStyle w:val="35"/>
        <w:numPr>
          <w:ilvl w:val="0"/>
          <w:numId w:val="0"/>
        </w:numPr>
        <w:adjustRightInd w:val="0"/>
        <w:snapToGrid w:val="0"/>
        <w:ind w:left="420" w:leftChars="0"/>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lang w:val="en-US" w:eastAsia="zh-CN"/>
        </w:rPr>
        <w:t>7.1</w:t>
      </w:r>
      <w:r>
        <w:rPr>
          <w:rFonts w:ascii="仿宋" w:hAnsi="仿宋" w:eastAsia="仿宋" w:cs="仿宋"/>
          <w:b/>
          <w:color w:val="auto"/>
          <w:szCs w:val="28"/>
          <w:highlight w:val="none"/>
        </w:rPr>
        <w:t>工程概况</w:t>
      </w:r>
    </w:p>
    <w:p w14:paraId="2BFCF7D9">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本项目为经开区茶园大道以南片区污水管网改造工程（建工学院段），拟建d400污水管网0.29km，起点始于建工职业学院东入口位置，终点止于茶园大道。本项目拟建场地为原始地貌。为保证本项目的顺利实施，需修建一条进场施工便道。施工便道修建之前需对便道范围内的10KV电杆进行迁改，以及做好路口部分的管网保护及迁改工作。</w:t>
      </w:r>
    </w:p>
    <w:p w14:paraId="2F188CAE">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拟建施工便道呈西东走向，起点与建工学院西入口平交,终点与茶园大道辅道平交，设计速度15km/h,道路等级为四级公路（Ⅱ类），道路全长</w:t>
      </w:r>
      <w:r>
        <w:rPr>
          <w:rFonts w:hint="eastAsia" w:ascii="仿宋" w:hAnsi="仿宋" w:eastAsia="仿宋" w:cs="仿宋"/>
          <w:color w:val="auto"/>
          <w:szCs w:val="28"/>
          <w:highlight w:val="none"/>
          <w:lang w:val="en-US" w:eastAsia="zh-CN"/>
        </w:rPr>
        <w:t>319.687</w:t>
      </w:r>
      <w:r>
        <w:rPr>
          <w:rFonts w:hint="eastAsia" w:ascii="仿宋" w:hAnsi="仿宋" w:eastAsia="仿宋" w:cs="仿宋"/>
          <w:color w:val="auto"/>
          <w:szCs w:val="28"/>
          <w:highlight w:val="none"/>
        </w:rPr>
        <w:t>m,单车道，标准路幅宽度为5m。</w:t>
      </w:r>
    </w:p>
    <w:p w14:paraId="381D4E46">
      <w:pPr>
        <w:ind w:firstLine="700" w:firstLineChars="250"/>
        <w:rPr>
          <w:rFonts w:hint="eastAsia" w:ascii="仿宋" w:hAnsi="仿宋" w:eastAsia="仿宋" w:cs="仿宋"/>
          <w:color w:val="auto"/>
          <w:szCs w:val="28"/>
          <w:highlight w:val="none"/>
          <w:lang w:val="en-US" w:eastAsia="zh-CN"/>
        </w:rPr>
      </w:pPr>
      <w:r>
        <w:rPr>
          <w:rFonts w:hint="eastAsia" w:ascii="仿宋" w:hAnsi="仿宋" w:eastAsia="仿宋" w:cs="仿宋"/>
          <w:color w:val="auto"/>
          <w:szCs w:val="28"/>
          <w:highlight w:val="none"/>
          <w:lang w:val="en-US" w:eastAsia="zh-CN"/>
        </w:rPr>
        <w:t>本工程沿线涉及主要边坡支挡段落汇总详见下表（本项目为临时便道，为临时工程，故挡护结构均为临时工程，其设计使用年限为不超过2年）:</w:t>
      </w:r>
    </w:p>
    <w:p w14:paraId="43FD8BAB">
      <w:pPr>
        <w:ind w:firstLine="700" w:firstLineChars="250"/>
        <w:rPr>
          <w:rFonts w:hint="default" w:ascii="仿宋" w:hAnsi="仿宋" w:eastAsia="仿宋" w:cs="仿宋"/>
          <w:color w:val="auto"/>
          <w:szCs w:val="28"/>
          <w:highlight w:val="none"/>
          <w:lang w:val="en-US" w:eastAsia="zh-CN"/>
        </w:rPr>
      </w:pPr>
    </w:p>
    <w:p w14:paraId="57D72322">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表1.1 边坡支挡一览表</w:t>
      </w:r>
    </w:p>
    <w:tbl>
      <w:tblPr>
        <w:tblStyle w:val="23"/>
        <w:tblW w:w="4997" w:type="pct"/>
        <w:jc w:val="center"/>
        <w:tblLayout w:type="autofit"/>
        <w:tblCellMar>
          <w:top w:w="0" w:type="dxa"/>
          <w:left w:w="108" w:type="dxa"/>
          <w:bottom w:w="0" w:type="dxa"/>
          <w:right w:w="108" w:type="dxa"/>
        </w:tblCellMar>
      </w:tblPr>
      <w:tblGrid>
        <w:gridCol w:w="511"/>
        <w:gridCol w:w="2276"/>
        <w:gridCol w:w="871"/>
        <w:gridCol w:w="970"/>
        <w:gridCol w:w="1131"/>
        <w:gridCol w:w="1996"/>
        <w:gridCol w:w="1009"/>
        <w:gridCol w:w="796"/>
        <w:gridCol w:w="903"/>
      </w:tblGrid>
      <w:tr w14:paraId="73BFBACB">
        <w:tblPrEx>
          <w:tblCellMar>
            <w:top w:w="0" w:type="dxa"/>
            <w:left w:w="108" w:type="dxa"/>
            <w:bottom w:w="0" w:type="dxa"/>
            <w:right w:w="108" w:type="dxa"/>
          </w:tblCellMar>
        </w:tblPrEx>
        <w:trPr>
          <w:trHeight w:val="300" w:hRule="atLeast"/>
          <w:jc w:val="center"/>
        </w:trPr>
        <w:tc>
          <w:tcPr>
            <w:tcW w:w="244" w:type="pct"/>
            <w:tcBorders>
              <w:top w:val="single" w:color="auto" w:sz="4" w:space="0"/>
              <w:left w:val="single" w:color="auto" w:sz="4" w:space="0"/>
              <w:bottom w:val="single" w:color="auto" w:sz="4" w:space="0"/>
              <w:right w:val="single" w:color="auto" w:sz="4" w:space="0"/>
            </w:tcBorders>
            <w:noWrap w:val="0"/>
            <w:vAlign w:val="center"/>
          </w:tcPr>
          <w:p w14:paraId="6F60378D">
            <w:pPr>
              <w:kinsoku/>
              <w:overflowPunct/>
              <w:topLinePunct w:val="0"/>
              <w:bidi w:val="0"/>
              <w:spacing w:line="360" w:lineRule="auto"/>
              <w:ind w:left="0" w:leftChars="0" w:right="0" w:rightChars="0" w:firstLine="25" w:firstLineChars="12"/>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编号</w:t>
            </w:r>
          </w:p>
        </w:tc>
        <w:tc>
          <w:tcPr>
            <w:tcW w:w="1087" w:type="pct"/>
            <w:tcBorders>
              <w:top w:val="single" w:color="auto" w:sz="4" w:space="0"/>
              <w:left w:val="single" w:color="auto" w:sz="4" w:space="0"/>
              <w:bottom w:val="single" w:color="auto" w:sz="4" w:space="0"/>
              <w:right w:val="single" w:color="auto" w:sz="4" w:space="0"/>
            </w:tcBorders>
            <w:noWrap w:val="0"/>
            <w:vAlign w:val="center"/>
          </w:tcPr>
          <w:p w14:paraId="2D207E8C">
            <w:pPr>
              <w:kinsoku/>
              <w:overflowPunct/>
              <w:topLinePunct w:val="0"/>
              <w:bidi w:val="0"/>
              <w:spacing w:line="360" w:lineRule="auto"/>
              <w:ind w:left="0" w:leftChars="0" w:right="0" w:rightChars="0" w:firstLine="25" w:firstLineChars="12"/>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范围</w:t>
            </w:r>
          </w:p>
        </w:tc>
        <w:tc>
          <w:tcPr>
            <w:tcW w:w="416" w:type="pct"/>
            <w:tcBorders>
              <w:top w:val="single" w:color="auto" w:sz="4" w:space="0"/>
              <w:left w:val="single" w:color="auto" w:sz="4" w:space="0"/>
              <w:bottom w:val="single" w:color="auto" w:sz="4" w:space="0"/>
              <w:right w:val="single" w:color="auto" w:sz="4" w:space="0"/>
            </w:tcBorders>
            <w:noWrap w:val="0"/>
            <w:vAlign w:val="center"/>
          </w:tcPr>
          <w:p w14:paraId="62A46BEC">
            <w:pPr>
              <w:kinsoku/>
              <w:overflowPunct/>
              <w:topLinePunct w:val="0"/>
              <w:bidi w:val="0"/>
              <w:spacing w:line="360" w:lineRule="auto"/>
              <w:ind w:left="0" w:leftChars="0" w:right="0" w:rightChars="0" w:firstLine="25" w:firstLineChars="12"/>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长度(m)</w:t>
            </w:r>
          </w:p>
        </w:tc>
        <w:tc>
          <w:tcPr>
            <w:tcW w:w="463" w:type="pct"/>
            <w:tcBorders>
              <w:top w:val="single" w:color="auto" w:sz="4" w:space="0"/>
              <w:left w:val="single" w:color="auto" w:sz="4" w:space="0"/>
              <w:bottom w:val="single" w:color="auto" w:sz="4" w:space="0"/>
              <w:right w:val="single" w:color="auto" w:sz="4" w:space="0"/>
            </w:tcBorders>
            <w:noWrap w:val="0"/>
            <w:vAlign w:val="center"/>
          </w:tcPr>
          <w:p w14:paraId="2E962BD6">
            <w:pPr>
              <w:kinsoku/>
              <w:overflowPunct/>
              <w:topLinePunct w:val="0"/>
              <w:bidi w:val="0"/>
              <w:spacing w:line="360" w:lineRule="auto"/>
              <w:ind w:left="0" w:leftChars="0" w:right="0" w:rightChars="0" w:firstLine="25" w:firstLineChars="12"/>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最大坡高(m)</w:t>
            </w:r>
          </w:p>
        </w:tc>
        <w:tc>
          <w:tcPr>
            <w:tcW w:w="540" w:type="pct"/>
            <w:tcBorders>
              <w:top w:val="single" w:color="auto" w:sz="4" w:space="0"/>
              <w:left w:val="single" w:color="auto" w:sz="4" w:space="0"/>
              <w:bottom w:val="single" w:color="auto" w:sz="4" w:space="0"/>
              <w:right w:val="single" w:color="auto" w:sz="4" w:space="0"/>
            </w:tcBorders>
            <w:noWrap w:val="0"/>
            <w:vAlign w:val="center"/>
          </w:tcPr>
          <w:p w14:paraId="4B5C95DC">
            <w:pPr>
              <w:kinsoku/>
              <w:overflowPunct/>
              <w:topLinePunct w:val="0"/>
              <w:bidi w:val="0"/>
              <w:spacing w:line="360" w:lineRule="auto"/>
              <w:ind w:left="0" w:leftChars="0" w:right="0" w:rightChars="0" w:firstLine="25" w:firstLineChars="12"/>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类型</w:t>
            </w:r>
          </w:p>
        </w:tc>
        <w:tc>
          <w:tcPr>
            <w:tcW w:w="953" w:type="pct"/>
            <w:tcBorders>
              <w:top w:val="single" w:color="auto" w:sz="4" w:space="0"/>
              <w:left w:val="single" w:color="auto" w:sz="4" w:space="0"/>
              <w:bottom w:val="single" w:color="auto" w:sz="4" w:space="0"/>
              <w:right w:val="single" w:color="auto" w:sz="4" w:space="0"/>
            </w:tcBorders>
            <w:noWrap w:val="0"/>
            <w:vAlign w:val="center"/>
          </w:tcPr>
          <w:p w14:paraId="5D5E0D55">
            <w:pPr>
              <w:kinsoku/>
              <w:overflowPunct/>
              <w:topLinePunct w:val="0"/>
              <w:bidi w:val="0"/>
              <w:spacing w:line="360" w:lineRule="auto"/>
              <w:ind w:left="0" w:leftChars="0" w:right="0" w:rightChars="0" w:firstLine="25" w:firstLineChars="12"/>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支护方案</w:t>
            </w:r>
          </w:p>
        </w:tc>
        <w:tc>
          <w:tcPr>
            <w:tcW w:w="482" w:type="pct"/>
            <w:tcBorders>
              <w:top w:val="single" w:color="auto" w:sz="4" w:space="0"/>
              <w:left w:val="single" w:color="auto" w:sz="4" w:space="0"/>
              <w:bottom w:val="single" w:color="auto" w:sz="4" w:space="0"/>
              <w:right w:val="single" w:color="auto" w:sz="4" w:space="0"/>
            </w:tcBorders>
            <w:noWrap w:val="0"/>
            <w:vAlign w:val="center"/>
          </w:tcPr>
          <w:p w14:paraId="5AE8D1CD">
            <w:pPr>
              <w:kinsoku/>
              <w:overflowPunct/>
              <w:topLinePunct w:val="0"/>
              <w:bidi w:val="0"/>
              <w:spacing w:line="360" w:lineRule="auto"/>
              <w:ind w:left="0" w:leftChars="0" w:right="0" w:rightChars="0" w:firstLine="25" w:firstLineChars="12"/>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立面投影（m2）</w:t>
            </w:r>
          </w:p>
        </w:tc>
        <w:tc>
          <w:tcPr>
            <w:tcW w:w="380" w:type="pct"/>
            <w:tcBorders>
              <w:top w:val="single" w:color="auto" w:sz="4" w:space="0"/>
              <w:left w:val="single" w:color="auto" w:sz="4" w:space="0"/>
              <w:bottom w:val="single" w:color="auto" w:sz="4" w:space="0"/>
              <w:right w:val="single" w:color="auto" w:sz="4" w:space="0"/>
            </w:tcBorders>
            <w:noWrap w:val="0"/>
            <w:vAlign w:val="center"/>
          </w:tcPr>
          <w:p w14:paraId="69F33384">
            <w:pPr>
              <w:kinsoku/>
              <w:overflowPunct/>
              <w:topLinePunct w:val="0"/>
              <w:bidi w:val="0"/>
              <w:spacing w:line="360" w:lineRule="auto"/>
              <w:ind w:left="0" w:leftChars="0" w:right="0" w:rightChars="0" w:firstLine="25" w:firstLineChars="12"/>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工作年限</w:t>
            </w:r>
          </w:p>
        </w:tc>
        <w:tc>
          <w:tcPr>
            <w:tcW w:w="431" w:type="pct"/>
            <w:tcBorders>
              <w:top w:val="single" w:color="auto" w:sz="4" w:space="0"/>
              <w:left w:val="single" w:color="auto" w:sz="4" w:space="0"/>
              <w:bottom w:val="single" w:color="auto" w:sz="4" w:space="0"/>
              <w:right w:val="single" w:color="auto" w:sz="4" w:space="0"/>
            </w:tcBorders>
            <w:noWrap w:val="0"/>
            <w:vAlign w:val="center"/>
          </w:tcPr>
          <w:p w14:paraId="7ADD0357">
            <w:pPr>
              <w:kinsoku/>
              <w:overflowPunct/>
              <w:topLinePunct w:val="0"/>
              <w:bidi w:val="0"/>
              <w:spacing w:line="360" w:lineRule="auto"/>
              <w:ind w:left="0" w:leftChars="0" w:right="0" w:rightChars="0" w:firstLine="25" w:firstLineChars="12"/>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安全等级</w:t>
            </w:r>
          </w:p>
        </w:tc>
      </w:tr>
      <w:tr w14:paraId="7957A62D">
        <w:tblPrEx>
          <w:tblCellMar>
            <w:top w:w="0" w:type="dxa"/>
            <w:left w:w="108" w:type="dxa"/>
            <w:bottom w:w="0" w:type="dxa"/>
            <w:right w:w="108" w:type="dxa"/>
          </w:tblCellMar>
        </w:tblPrEx>
        <w:trPr>
          <w:trHeight w:val="454" w:hRule="atLeast"/>
          <w:jc w:val="center"/>
        </w:trPr>
        <w:tc>
          <w:tcPr>
            <w:tcW w:w="244" w:type="pct"/>
            <w:tcBorders>
              <w:top w:val="single" w:color="auto" w:sz="4" w:space="0"/>
              <w:left w:val="single" w:color="auto" w:sz="4" w:space="0"/>
              <w:bottom w:val="single" w:color="auto" w:sz="4" w:space="0"/>
              <w:right w:val="single" w:color="auto" w:sz="4" w:space="0"/>
            </w:tcBorders>
            <w:noWrap w:val="0"/>
            <w:vAlign w:val="center"/>
          </w:tcPr>
          <w:p w14:paraId="0490298B">
            <w:pPr>
              <w:kinsoku/>
              <w:overflowPunct/>
              <w:topLinePunct w:val="0"/>
              <w:bidi w:val="0"/>
              <w:spacing w:line="360" w:lineRule="auto"/>
              <w:ind w:left="0" w:leftChars="0" w:right="0" w:rightChars="0" w:firstLine="25" w:firstLineChars="12"/>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1</w:t>
            </w:r>
          </w:p>
        </w:tc>
        <w:tc>
          <w:tcPr>
            <w:tcW w:w="1087" w:type="pct"/>
            <w:tcBorders>
              <w:top w:val="single" w:color="auto" w:sz="4" w:space="0"/>
              <w:left w:val="single" w:color="auto" w:sz="4" w:space="0"/>
              <w:bottom w:val="single" w:color="auto" w:sz="4" w:space="0"/>
              <w:right w:val="single" w:color="auto" w:sz="4" w:space="0"/>
            </w:tcBorders>
            <w:noWrap w:val="0"/>
            <w:vAlign w:val="center"/>
          </w:tcPr>
          <w:p w14:paraId="3448FBF3">
            <w:pPr>
              <w:kinsoku/>
              <w:overflowPunct/>
              <w:topLinePunct w:val="0"/>
              <w:bidi w:val="0"/>
              <w:spacing w:line="360" w:lineRule="auto"/>
              <w:ind w:left="0" w:leftChars="0" w:right="0" w:rightChars="0" w:firstLine="25" w:firstLineChars="12"/>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K0+200～K0+215右侧</w:t>
            </w:r>
          </w:p>
        </w:tc>
        <w:tc>
          <w:tcPr>
            <w:tcW w:w="416" w:type="pct"/>
            <w:tcBorders>
              <w:top w:val="single" w:color="auto" w:sz="4" w:space="0"/>
              <w:left w:val="single" w:color="auto" w:sz="4" w:space="0"/>
              <w:bottom w:val="single" w:color="auto" w:sz="4" w:space="0"/>
              <w:right w:val="single" w:color="auto" w:sz="4" w:space="0"/>
            </w:tcBorders>
            <w:noWrap w:val="0"/>
            <w:vAlign w:val="center"/>
          </w:tcPr>
          <w:p w14:paraId="56963806">
            <w:pPr>
              <w:kinsoku/>
              <w:overflowPunct/>
              <w:topLinePunct w:val="0"/>
              <w:bidi w:val="0"/>
              <w:spacing w:line="360" w:lineRule="auto"/>
              <w:ind w:left="0" w:leftChars="0" w:right="0" w:rightChars="0" w:firstLine="25" w:firstLineChars="12"/>
              <w:jc w:val="center"/>
              <w:rPr>
                <w:rFonts w:hint="default"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15</w:t>
            </w:r>
          </w:p>
        </w:tc>
        <w:tc>
          <w:tcPr>
            <w:tcW w:w="463" w:type="pct"/>
            <w:tcBorders>
              <w:top w:val="single" w:color="auto" w:sz="4" w:space="0"/>
              <w:left w:val="single" w:color="auto" w:sz="4" w:space="0"/>
              <w:bottom w:val="single" w:color="auto" w:sz="4" w:space="0"/>
              <w:right w:val="single" w:color="auto" w:sz="4" w:space="0"/>
            </w:tcBorders>
            <w:noWrap w:val="0"/>
            <w:vAlign w:val="center"/>
          </w:tcPr>
          <w:p w14:paraId="32CF55F0">
            <w:pPr>
              <w:kinsoku/>
              <w:overflowPunct/>
              <w:topLinePunct w:val="0"/>
              <w:bidi w:val="0"/>
              <w:spacing w:line="360" w:lineRule="auto"/>
              <w:ind w:left="0" w:leftChars="0" w:right="0" w:rightChars="0" w:firstLine="25" w:firstLineChars="12"/>
              <w:jc w:val="center"/>
              <w:rPr>
                <w:rFonts w:hint="default"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7.8</w:t>
            </w:r>
          </w:p>
        </w:tc>
        <w:tc>
          <w:tcPr>
            <w:tcW w:w="540" w:type="pct"/>
            <w:tcBorders>
              <w:top w:val="single" w:color="auto" w:sz="4" w:space="0"/>
              <w:left w:val="single" w:color="auto" w:sz="4" w:space="0"/>
              <w:bottom w:val="single" w:color="auto" w:sz="4" w:space="0"/>
              <w:right w:val="single" w:color="auto" w:sz="4" w:space="0"/>
            </w:tcBorders>
            <w:noWrap w:val="0"/>
            <w:vAlign w:val="center"/>
          </w:tcPr>
          <w:p w14:paraId="514EED47">
            <w:pPr>
              <w:kinsoku/>
              <w:overflowPunct/>
              <w:topLinePunct w:val="0"/>
              <w:bidi w:val="0"/>
              <w:spacing w:line="360" w:lineRule="auto"/>
              <w:ind w:left="0" w:leftChars="0" w:right="0" w:rightChars="0" w:firstLine="25" w:firstLineChars="12"/>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土质填方</w:t>
            </w:r>
          </w:p>
        </w:tc>
        <w:tc>
          <w:tcPr>
            <w:tcW w:w="953" w:type="pct"/>
            <w:tcBorders>
              <w:top w:val="single" w:color="auto" w:sz="4" w:space="0"/>
              <w:left w:val="single" w:color="auto" w:sz="4" w:space="0"/>
              <w:bottom w:val="single" w:color="auto" w:sz="4" w:space="0"/>
              <w:right w:val="single" w:color="auto" w:sz="4" w:space="0"/>
            </w:tcBorders>
            <w:noWrap w:val="0"/>
            <w:vAlign w:val="center"/>
          </w:tcPr>
          <w:p w14:paraId="14ABA921">
            <w:pPr>
              <w:kinsoku/>
              <w:overflowPunct/>
              <w:topLinePunct w:val="0"/>
              <w:bidi w:val="0"/>
              <w:spacing w:line="360" w:lineRule="auto"/>
              <w:ind w:left="0" w:leftChars="0" w:right="0" w:rightChars="0" w:firstLine="25" w:firstLineChars="12"/>
              <w:jc w:val="center"/>
              <w:rPr>
                <w:rFonts w:hint="default"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衡重式路堤挡墙+花格植草</w:t>
            </w:r>
          </w:p>
        </w:tc>
        <w:tc>
          <w:tcPr>
            <w:tcW w:w="482" w:type="pct"/>
            <w:tcBorders>
              <w:top w:val="single" w:color="auto" w:sz="4" w:space="0"/>
              <w:left w:val="single" w:color="auto" w:sz="4" w:space="0"/>
              <w:bottom w:val="single" w:color="auto" w:sz="4" w:space="0"/>
              <w:right w:val="single" w:color="auto" w:sz="4" w:space="0"/>
            </w:tcBorders>
            <w:noWrap w:val="0"/>
            <w:vAlign w:val="center"/>
          </w:tcPr>
          <w:p w14:paraId="4516D6EA">
            <w:pPr>
              <w:kinsoku/>
              <w:overflowPunct/>
              <w:topLinePunct w:val="0"/>
              <w:bidi w:val="0"/>
              <w:spacing w:line="360" w:lineRule="auto"/>
              <w:ind w:left="0" w:leftChars="0" w:right="0" w:rightChars="0" w:firstLine="25" w:firstLineChars="12"/>
              <w:jc w:val="center"/>
              <w:rPr>
                <w:rFonts w:hint="default"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80</w:t>
            </w:r>
          </w:p>
        </w:tc>
        <w:tc>
          <w:tcPr>
            <w:tcW w:w="380" w:type="pct"/>
            <w:tcBorders>
              <w:top w:val="single" w:color="auto" w:sz="4" w:space="0"/>
              <w:left w:val="single" w:color="auto" w:sz="4" w:space="0"/>
              <w:bottom w:val="single" w:color="auto" w:sz="4" w:space="0"/>
              <w:right w:val="single" w:color="auto" w:sz="4" w:space="0"/>
            </w:tcBorders>
            <w:noWrap w:val="0"/>
            <w:vAlign w:val="center"/>
          </w:tcPr>
          <w:p w14:paraId="1CF21992">
            <w:pPr>
              <w:kinsoku/>
              <w:overflowPunct/>
              <w:topLinePunct w:val="0"/>
              <w:bidi w:val="0"/>
              <w:spacing w:line="360" w:lineRule="auto"/>
              <w:ind w:left="0" w:leftChars="0" w:right="0" w:rightChars="0" w:firstLine="25" w:firstLineChars="12"/>
              <w:jc w:val="center"/>
              <w:rPr>
                <w:rFonts w:hint="default"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2年</w:t>
            </w:r>
          </w:p>
        </w:tc>
        <w:tc>
          <w:tcPr>
            <w:tcW w:w="431" w:type="pct"/>
            <w:tcBorders>
              <w:top w:val="single" w:color="auto" w:sz="4" w:space="0"/>
              <w:left w:val="single" w:color="auto" w:sz="4" w:space="0"/>
              <w:bottom w:val="single" w:color="auto" w:sz="4" w:space="0"/>
              <w:right w:val="single" w:color="auto" w:sz="4" w:space="0"/>
            </w:tcBorders>
            <w:noWrap w:val="0"/>
            <w:vAlign w:val="center"/>
          </w:tcPr>
          <w:p w14:paraId="6F146E95">
            <w:pPr>
              <w:kinsoku/>
              <w:overflowPunct/>
              <w:topLinePunct w:val="0"/>
              <w:bidi w:val="0"/>
              <w:spacing w:line="360" w:lineRule="auto"/>
              <w:ind w:left="0" w:leftChars="0" w:right="0" w:rightChars="0" w:firstLine="25" w:firstLineChars="12"/>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二级</w:t>
            </w:r>
          </w:p>
        </w:tc>
      </w:tr>
    </w:tbl>
    <w:p w14:paraId="1A47C3ED">
      <w:pPr>
        <w:ind w:firstLine="703" w:firstLineChars="250"/>
        <w:rPr>
          <w:rFonts w:hint="eastAsia" w:ascii="仿宋" w:hAnsi="仿宋" w:eastAsia="仿宋" w:cs="仿宋"/>
          <w:b/>
          <w:color w:val="auto"/>
          <w:szCs w:val="28"/>
          <w:highlight w:val="none"/>
          <w:lang w:val="en-US" w:eastAsia="zh-CN"/>
        </w:rPr>
      </w:pPr>
      <w:bookmarkStart w:id="74" w:name="_Toc131088448"/>
      <w:bookmarkStart w:id="75" w:name="_Toc126348456"/>
    </w:p>
    <w:p w14:paraId="25502850">
      <w:pPr>
        <w:pStyle w:val="35"/>
        <w:numPr>
          <w:ilvl w:val="0"/>
          <w:numId w:val="0"/>
        </w:numPr>
        <w:adjustRightInd w:val="0"/>
        <w:snapToGrid w:val="0"/>
        <w:ind w:left="420" w:leftChars="0"/>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lang w:val="en-US" w:eastAsia="zh-CN"/>
        </w:rPr>
        <w:t>7.2</w:t>
      </w:r>
      <w:r>
        <w:rPr>
          <w:rFonts w:ascii="仿宋" w:hAnsi="仿宋" w:eastAsia="仿宋" w:cs="仿宋"/>
          <w:b/>
          <w:color w:val="auto"/>
          <w:szCs w:val="28"/>
          <w:highlight w:val="none"/>
        </w:rPr>
        <w:t>设计依据</w:t>
      </w:r>
      <w:bookmarkEnd w:id="74"/>
      <w:bookmarkEnd w:id="75"/>
    </w:p>
    <w:p w14:paraId="3E4CF2C9">
      <w:pPr>
        <w:ind w:firstLine="700" w:firstLineChars="250"/>
        <w:rPr>
          <w:rFonts w:hint="eastAsia" w:ascii="仿宋" w:hAnsi="仿宋" w:eastAsia="仿宋" w:cs="仿宋"/>
          <w:color w:val="auto"/>
          <w:szCs w:val="28"/>
          <w:highlight w:val="none"/>
          <w:lang w:val="en-US" w:eastAsia="zh-CN"/>
        </w:rPr>
      </w:pPr>
      <w:r>
        <w:rPr>
          <w:rFonts w:hint="eastAsia" w:ascii="仿宋" w:hAnsi="仿宋" w:eastAsia="仿宋" w:cs="仿宋"/>
          <w:color w:val="auto"/>
          <w:szCs w:val="28"/>
          <w:highlight w:val="none"/>
          <w:lang w:val="en-US" w:eastAsia="zh-CN"/>
        </w:rPr>
        <w:t>《建筑边坡工程技术规范》(GB50330-2013)</w:t>
      </w:r>
    </w:p>
    <w:p w14:paraId="036FB83B">
      <w:pPr>
        <w:ind w:firstLine="700" w:firstLineChars="250"/>
        <w:rPr>
          <w:rFonts w:hint="eastAsia" w:ascii="仿宋" w:hAnsi="仿宋" w:eastAsia="仿宋" w:cs="仿宋"/>
          <w:color w:val="auto"/>
          <w:szCs w:val="28"/>
          <w:highlight w:val="none"/>
          <w:lang w:val="en-US" w:eastAsia="zh-CN"/>
        </w:rPr>
      </w:pPr>
      <w:r>
        <w:rPr>
          <w:rFonts w:hint="eastAsia" w:ascii="仿宋" w:hAnsi="仿宋" w:eastAsia="仿宋" w:cs="仿宋"/>
          <w:color w:val="auto"/>
          <w:szCs w:val="28"/>
          <w:highlight w:val="none"/>
          <w:lang w:val="en-US" w:eastAsia="zh-CN"/>
        </w:rPr>
        <w:t>《建筑地基基础设计规范》（GB50007-2011）</w:t>
      </w:r>
    </w:p>
    <w:p w14:paraId="4730B5F6">
      <w:pPr>
        <w:ind w:firstLine="700" w:firstLineChars="250"/>
        <w:rPr>
          <w:rFonts w:hint="eastAsia" w:ascii="仿宋" w:hAnsi="仿宋" w:eastAsia="仿宋" w:cs="仿宋"/>
          <w:color w:val="auto"/>
          <w:szCs w:val="28"/>
          <w:highlight w:val="none"/>
          <w:lang w:val="en-US" w:eastAsia="zh-CN"/>
        </w:rPr>
      </w:pPr>
      <w:r>
        <w:rPr>
          <w:rFonts w:hint="eastAsia" w:ascii="仿宋" w:hAnsi="仿宋" w:eastAsia="仿宋" w:cs="仿宋"/>
          <w:color w:val="auto"/>
          <w:szCs w:val="28"/>
          <w:highlight w:val="none"/>
          <w:lang w:val="en-US" w:eastAsia="zh-CN"/>
        </w:rPr>
        <w:t>《建筑地基处理技术规范》（JGJ 79-2012）</w:t>
      </w:r>
    </w:p>
    <w:p w14:paraId="45F880D1">
      <w:pPr>
        <w:ind w:firstLine="700" w:firstLineChars="250"/>
        <w:rPr>
          <w:rFonts w:hint="eastAsia" w:ascii="仿宋" w:hAnsi="仿宋" w:eastAsia="仿宋" w:cs="仿宋"/>
          <w:b w:val="0"/>
          <w:bCs w:val="0"/>
          <w:color w:val="auto"/>
          <w:szCs w:val="28"/>
          <w:highlight w:val="none"/>
          <w:lang w:val="en-US" w:eastAsia="zh-CN"/>
        </w:rPr>
      </w:pPr>
      <w:r>
        <w:rPr>
          <w:rFonts w:hint="eastAsia" w:ascii="仿宋" w:hAnsi="仿宋" w:eastAsia="仿宋" w:cs="仿宋"/>
          <w:b w:val="0"/>
          <w:bCs w:val="0"/>
          <w:color w:val="auto"/>
          <w:szCs w:val="28"/>
          <w:highlight w:val="none"/>
          <w:lang w:val="en-US" w:eastAsia="zh-CN"/>
        </w:rPr>
        <w:t>《混凝土结构设计标准（2024年版）》（GB/T 50010-2010）</w:t>
      </w:r>
    </w:p>
    <w:p w14:paraId="477842BE">
      <w:pPr>
        <w:ind w:firstLine="700" w:firstLineChars="250"/>
        <w:rPr>
          <w:rFonts w:hint="eastAsia" w:ascii="仿宋" w:hAnsi="仿宋" w:eastAsia="仿宋" w:cs="仿宋"/>
          <w:color w:val="auto"/>
          <w:szCs w:val="28"/>
          <w:highlight w:val="none"/>
          <w:lang w:val="en-US" w:eastAsia="zh-CN"/>
        </w:rPr>
      </w:pPr>
      <w:r>
        <w:rPr>
          <w:rFonts w:hint="eastAsia" w:ascii="仿宋" w:hAnsi="仿宋" w:eastAsia="仿宋" w:cs="仿宋"/>
          <w:color w:val="auto"/>
          <w:szCs w:val="28"/>
          <w:highlight w:val="none"/>
          <w:lang w:val="en-US" w:eastAsia="zh-CN"/>
        </w:rPr>
        <w:t>《室外排水设计标准》(GB50014-2021)</w:t>
      </w:r>
    </w:p>
    <w:p w14:paraId="3F25346A">
      <w:pPr>
        <w:ind w:firstLine="700" w:firstLineChars="250"/>
        <w:rPr>
          <w:rFonts w:hint="eastAsia" w:ascii="仿宋" w:hAnsi="仿宋" w:eastAsia="仿宋" w:cs="仿宋"/>
          <w:color w:val="auto"/>
          <w:szCs w:val="28"/>
          <w:highlight w:val="none"/>
          <w:lang w:val="en-US" w:eastAsia="zh-CN"/>
        </w:rPr>
      </w:pPr>
      <w:r>
        <w:rPr>
          <w:rFonts w:hint="eastAsia" w:ascii="仿宋" w:hAnsi="仿宋" w:eastAsia="仿宋" w:cs="仿宋"/>
          <w:color w:val="auto"/>
          <w:szCs w:val="28"/>
          <w:highlight w:val="none"/>
          <w:lang w:val="en-US" w:eastAsia="zh-CN"/>
        </w:rPr>
        <w:t>《建筑抗震设计标准（2024年版）》（GB/T 50011-2010）</w:t>
      </w:r>
    </w:p>
    <w:p w14:paraId="33FA743D">
      <w:pPr>
        <w:ind w:firstLine="700" w:firstLineChars="250"/>
        <w:rPr>
          <w:rFonts w:hint="eastAsia" w:ascii="仿宋" w:hAnsi="仿宋" w:eastAsia="仿宋" w:cs="仿宋"/>
          <w:color w:val="auto"/>
          <w:szCs w:val="28"/>
          <w:highlight w:val="none"/>
          <w:lang w:val="en-US" w:eastAsia="zh-CN"/>
        </w:rPr>
      </w:pPr>
      <w:r>
        <w:rPr>
          <w:rFonts w:hint="eastAsia" w:ascii="仿宋" w:hAnsi="仿宋" w:eastAsia="仿宋" w:cs="仿宋"/>
          <w:color w:val="auto"/>
          <w:szCs w:val="28"/>
          <w:highlight w:val="none"/>
          <w:lang w:val="en-US" w:eastAsia="zh-CN"/>
        </w:rPr>
        <w:t>《建筑结构荷载规范》（GB50009-2012）</w:t>
      </w:r>
    </w:p>
    <w:p w14:paraId="004EDF88">
      <w:pPr>
        <w:ind w:firstLine="700" w:firstLineChars="250"/>
        <w:rPr>
          <w:rFonts w:hint="eastAsia" w:ascii="仿宋" w:hAnsi="仿宋" w:eastAsia="仿宋" w:cs="仿宋"/>
          <w:color w:val="auto"/>
          <w:szCs w:val="28"/>
          <w:highlight w:val="none"/>
          <w:lang w:val="en-US" w:eastAsia="zh-CN"/>
        </w:rPr>
      </w:pPr>
      <w:r>
        <w:rPr>
          <w:rFonts w:hint="eastAsia" w:ascii="仿宋" w:hAnsi="仿宋" w:eastAsia="仿宋" w:cs="仿宋"/>
          <w:color w:val="auto"/>
          <w:szCs w:val="28"/>
          <w:highlight w:val="none"/>
          <w:lang w:val="en-US" w:eastAsia="zh-CN"/>
        </w:rPr>
        <w:t>《混凝土结构工程施工质量验收规范》（GB50204-2015）</w:t>
      </w:r>
    </w:p>
    <w:p w14:paraId="0C229AAF">
      <w:pPr>
        <w:ind w:firstLine="700" w:firstLineChars="250"/>
        <w:rPr>
          <w:rFonts w:hint="eastAsia" w:ascii="仿宋" w:hAnsi="仿宋" w:eastAsia="仿宋" w:cs="仿宋"/>
          <w:color w:val="auto"/>
          <w:szCs w:val="28"/>
          <w:highlight w:val="none"/>
          <w:lang w:val="en-US" w:eastAsia="zh-CN"/>
        </w:rPr>
      </w:pPr>
      <w:r>
        <w:rPr>
          <w:rFonts w:hint="eastAsia" w:ascii="仿宋" w:hAnsi="仿宋" w:eastAsia="仿宋" w:cs="仿宋"/>
          <w:color w:val="auto"/>
          <w:szCs w:val="28"/>
          <w:highlight w:val="none"/>
          <w:lang w:val="en-US" w:eastAsia="zh-CN"/>
        </w:rPr>
        <w:t>《建筑与市政地基基础通用规范》（GB55003-2021）</w:t>
      </w:r>
    </w:p>
    <w:p w14:paraId="12A13087">
      <w:pPr>
        <w:ind w:firstLine="700" w:firstLineChars="250"/>
        <w:rPr>
          <w:rFonts w:hint="eastAsia" w:ascii="仿宋" w:hAnsi="仿宋" w:eastAsia="仿宋" w:cs="仿宋"/>
          <w:color w:val="auto"/>
          <w:szCs w:val="28"/>
          <w:highlight w:val="none"/>
          <w:lang w:val="en-US" w:eastAsia="zh-CN"/>
        </w:rPr>
      </w:pPr>
      <w:r>
        <w:rPr>
          <w:rFonts w:hint="eastAsia" w:ascii="仿宋" w:hAnsi="仿宋" w:eastAsia="仿宋" w:cs="仿宋"/>
          <w:color w:val="auto"/>
          <w:szCs w:val="28"/>
          <w:highlight w:val="none"/>
          <w:lang w:val="en-US" w:eastAsia="zh-CN"/>
        </w:rPr>
        <w:t>《工程结构通用规范》（GB55001-2021）</w:t>
      </w:r>
    </w:p>
    <w:p w14:paraId="6C099C5C">
      <w:pPr>
        <w:ind w:firstLine="700" w:firstLineChars="250"/>
        <w:rPr>
          <w:rFonts w:hint="eastAsia" w:ascii="仿宋" w:hAnsi="仿宋" w:eastAsia="仿宋" w:cs="仿宋"/>
          <w:color w:val="auto"/>
          <w:szCs w:val="28"/>
          <w:highlight w:val="none"/>
          <w:lang w:val="en-US" w:eastAsia="zh-CN"/>
        </w:rPr>
      </w:pPr>
      <w:r>
        <w:rPr>
          <w:rFonts w:hint="eastAsia" w:ascii="仿宋" w:hAnsi="仿宋" w:eastAsia="仿宋" w:cs="仿宋"/>
          <w:color w:val="auto"/>
          <w:szCs w:val="28"/>
          <w:highlight w:val="none"/>
          <w:lang w:val="en-US" w:eastAsia="zh-CN"/>
        </w:rPr>
        <w:t>《混凝土结构通用规范》（GB55008-2021）</w:t>
      </w:r>
    </w:p>
    <w:p w14:paraId="4171ADB4">
      <w:pPr>
        <w:ind w:firstLine="700" w:firstLineChars="250"/>
        <w:rPr>
          <w:rFonts w:hint="eastAsia" w:ascii="仿宋" w:hAnsi="仿宋" w:eastAsia="仿宋" w:cs="仿宋"/>
          <w:color w:val="auto"/>
          <w:szCs w:val="28"/>
          <w:highlight w:val="none"/>
          <w:lang w:val="en-US" w:eastAsia="zh-CN"/>
        </w:rPr>
      </w:pPr>
      <w:r>
        <w:rPr>
          <w:rFonts w:hint="eastAsia" w:ascii="仿宋" w:hAnsi="仿宋" w:eastAsia="仿宋" w:cs="仿宋"/>
          <w:color w:val="auto"/>
          <w:szCs w:val="28"/>
          <w:highlight w:val="none"/>
          <w:lang w:val="en-US" w:eastAsia="zh-CN"/>
        </w:rPr>
        <w:t>《大体积混凝土施工标准》（GB50496-2018）</w:t>
      </w:r>
    </w:p>
    <w:p w14:paraId="30E2FE34">
      <w:pPr>
        <w:ind w:firstLine="700" w:firstLineChars="250"/>
        <w:rPr>
          <w:rFonts w:hint="eastAsia" w:ascii="仿宋" w:hAnsi="仿宋" w:eastAsia="仿宋" w:cs="仿宋"/>
          <w:color w:val="auto"/>
          <w:szCs w:val="28"/>
          <w:highlight w:val="none"/>
          <w:lang w:val="en-US" w:eastAsia="zh-CN"/>
        </w:rPr>
      </w:pPr>
      <w:r>
        <w:rPr>
          <w:rFonts w:hint="eastAsia" w:ascii="仿宋" w:hAnsi="仿宋" w:eastAsia="仿宋" w:cs="仿宋"/>
          <w:color w:val="auto"/>
          <w:szCs w:val="28"/>
          <w:highlight w:val="none"/>
          <w:lang w:val="en-US" w:eastAsia="zh-CN"/>
        </w:rPr>
        <w:t>《建筑工程施工质量验收统一标准》（GB50300-2013）</w:t>
      </w:r>
    </w:p>
    <w:p w14:paraId="4D3921AC">
      <w:pPr>
        <w:ind w:firstLine="700" w:firstLineChars="250"/>
        <w:rPr>
          <w:rFonts w:hint="eastAsia" w:ascii="仿宋" w:hAnsi="仿宋" w:eastAsia="仿宋" w:cs="仿宋"/>
          <w:color w:val="auto"/>
          <w:szCs w:val="28"/>
          <w:highlight w:val="none"/>
          <w:lang w:val="en-US" w:eastAsia="zh-CN"/>
        </w:rPr>
      </w:pPr>
      <w:r>
        <w:rPr>
          <w:rFonts w:hint="eastAsia" w:ascii="仿宋" w:hAnsi="仿宋" w:eastAsia="仿宋" w:cs="仿宋"/>
          <w:color w:val="auto"/>
          <w:szCs w:val="28"/>
          <w:highlight w:val="none"/>
          <w:lang w:val="en-US" w:eastAsia="zh-CN"/>
        </w:rPr>
        <w:t>《重庆市建设领域禁止、限制使用落后技术通告（2019年版）》</w:t>
      </w:r>
    </w:p>
    <w:p w14:paraId="7D01CF83">
      <w:pPr>
        <w:ind w:firstLine="700" w:firstLineChars="250"/>
        <w:rPr>
          <w:rFonts w:hint="eastAsia" w:ascii="仿宋" w:hAnsi="仿宋" w:eastAsia="仿宋" w:cs="仿宋"/>
          <w:color w:val="auto"/>
          <w:szCs w:val="28"/>
          <w:highlight w:val="none"/>
          <w:lang w:val="en-US" w:eastAsia="zh-CN"/>
        </w:rPr>
      </w:pPr>
      <w:r>
        <w:rPr>
          <w:rFonts w:hint="eastAsia" w:ascii="仿宋" w:hAnsi="仿宋" w:eastAsia="仿宋" w:cs="仿宋"/>
          <w:color w:val="auto"/>
          <w:szCs w:val="28"/>
          <w:highlight w:val="none"/>
          <w:lang w:val="en-US" w:eastAsia="zh-CN"/>
        </w:rPr>
        <w:t>《重庆市房屋建筑和市政基础设施工程质量常见问题防治要点（2019年版）》</w:t>
      </w:r>
    </w:p>
    <w:p w14:paraId="692F395E">
      <w:pPr>
        <w:ind w:firstLine="700" w:firstLineChars="250"/>
        <w:rPr>
          <w:rFonts w:hint="eastAsia" w:ascii="仿宋" w:hAnsi="仿宋" w:eastAsia="仿宋" w:cs="仿宋"/>
          <w:color w:val="auto"/>
          <w:szCs w:val="28"/>
          <w:highlight w:val="none"/>
          <w:lang w:val="en-US" w:eastAsia="zh-CN"/>
        </w:rPr>
      </w:pPr>
      <w:r>
        <w:rPr>
          <w:rFonts w:hint="eastAsia" w:ascii="仿宋" w:hAnsi="仿宋" w:eastAsia="仿宋" w:cs="仿宋"/>
          <w:color w:val="auto"/>
          <w:szCs w:val="28"/>
          <w:highlight w:val="none"/>
          <w:lang w:val="en-US" w:eastAsia="zh-CN"/>
        </w:rPr>
        <w:t>《危险性较大的分部分项工程安全管理规定[2018]37号》</w:t>
      </w:r>
    </w:p>
    <w:p w14:paraId="67FB7135">
      <w:pPr>
        <w:ind w:firstLine="700" w:firstLineChars="250"/>
        <w:rPr>
          <w:rFonts w:hint="eastAsia" w:ascii="仿宋" w:hAnsi="仿宋" w:eastAsia="仿宋" w:cs="仿宋"/>
          <w:color w:val="auto"/>
          <w:szCs w:val="28"/>
          <w:highlight w:val="none"/>
          <w:lang w:val="en-US" w:eastAsia="zh-CN"/>
        </w:rPr>
      </w:pPr>
      <w:r>
        <w:rPr>
          <w:rFonts w:hint="eastAsia" w:ascii="仿宋" w:hAnsi="仿宋" w:eastAsia="仿宋" w:cs="仿宋"/>
          <w:color w:val="auto"/>
          <w:szCs w:val="28"/>
          <w:highlight w:val="none"/>
          <w:lang w:val="en-US" w:eastAsia="zh-CN"/>
        </w:rPr>
        <w:t>其它相关的国家和行业规范或标准等</w:t>
      </w:r>
    </w:p>
    <w:p w14:paraId="1F976658">
      <w:pPr>
        <w:pStyle w:val="35"/>
        <w:numPr>
          <w:ilvl w:val="0"/>
          <w:numId w:val="0"/>
        </w:numPr>
        <w:adjustRightInd w:val="0"/>
        <w:snapToGrid w:val="0"/>
        <w:ind w:left="420" w:leftChars="0"/>
        <w:outlineLvl w:val="1"/>
        <w:rPr>
          <w:rFonts w:hint="eastAsia" w:ascii="仿宋" w:hAnsi="仿宋" w:eastAsia="仿宋" w:cs="仿宋"/>
          <w:b/>
          <w:color w:val="auto"/>
          <w:szCs w:val="28"/>
          <w:highlight w:val="none"/>
          <w:lang w:val="en-US" w:eastAsia="zh-CN"/>
        </w:rPr>
      </w:pPr>
      <w:r>
        <w:rPr>
          <w:rFonts w:hint="eastAsia" w:ascii="仿宋" w:hAnsi="仿宋" w:eastAsia="仿宋" w:cs="仿宋"/>
          <w:b/>
          <w:color w:val="auto"/>
          <w:szCs w:val="28"/>
          <w:highlight w:val="none"/>
          <w:lang w:val="en-US" w:eastAsia="zh-CN"/>
        </w:rPr>
        <w:t>7.3相关基础资料</w:t>
      </w:r>
    </w:p>
    <w:p w14:paraId="573B9588">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与建设方签定的工程设计合同；</w:t>
      </w:r>
    </w:p>
    <w:p w14:paraId="71340266">
      <w:pPr>
        <w:ind w:firstLine="560"/>
        <w:rPr>
          <w:rFonts w:hint="eastAsia" w:ascii="仿宋" w:hAnsi="仿宋" w:eastAsia="仿宋" w:cs="仿宋"/>
          <w:color w:val="auto"/>
          <w:szCs w:val="28"/>
          <w:highlight w:val="none"/>
          <w:lang w:eastAsia="zh-CN"/>
        </w:rPr>
      </w:pPr>
      <w:r>
        <w:rPr>
          <w:rFonts w:hint="eastAsia" w:ascii="仿宋" w:hAnsi="仿宋" w:eastAsia="仿宋" w:cs="仿宋"/>
          <w:color w:val="auto"/>
          <w:szCs w:val="28"/>
          <w:highlight w:val="none"/>
          <w:lang w:eastAsia="zh-CN"/>
        </w:rPr>
        <w:t>本项目道路等其他专业设计文件；</w:t>
      </w:r>
    </w:p>
    <w:p w14:paraId="433694AE">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建设方提供的其他相关资料。</w:t>
      </w:r>
    </w:p>
    <w:p w14:paraId="4B804505">
      <w:pPr>
        <w:pStyle w:val="35"/>
        <w:numPr>
          <w:ilvl w:val="0"/>
          <w:numId w:val="0"/>
        </w:numPr>
        <w:adjustRightInd w:val="0"/>
        <w:snapToGrid w:val="0"/>
        <w:ind w:left="420" w:leftChars="0"/>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lang w:val="en-US" w:eastAsia="zh-CN"/>
        </w:rPr>
        <w:t>7.4</w:t>
      </w:r>
      <w:r>
        <w:rPr>
          <w:rFonts w:hint="eastAsia" w:ascii="仿宋" w:hAnsi="仿宋" w:eastAsia="仿宋" w:cs="仿宋"/>
          <w:b/>
          <w:color w:val="auto"/>
          <w:szCs w:val="28"/>
          <w:highlight w:val="none"/>
          <w:lang w:eastAsia="zh-CN"/>
        </w:rPr>
        <w:t>工程地质</w:t>
      </w:r>
    </w:p>
    <w:p w14:paraId="389586CD">
      <w:pPr>
        <w:ind w:firstLine="560"/>
        <w:rPr>
          <w:rFonts w:hint="eastAsia" w:ascii="仿宋" w:hAnsi="仿宋" w:eastAsia="仿宋" w:cs="仿宋"/>
          <w:color w:val="auto"/>
          <w:szCs w:val="28"/>
          <w:highlight w:val="none"/>
          <w:lang w:val="en-US" w:eastAsia="zh-CN"/>
        </w:rPr>
      </w:pPr>
      <w:r>
        <w:rPr>
          <w:rFonts w:hint="eastAsia" w:ascii="仿宋" w:hAnsi="仿宋" w:eastAsia="仿宋" w:cs="仿宋"/>
          <w:color w:val="auto"/>
          <w:szCs w:val="28"/>
          <w:highlight w:val="none"/>
          <w:lang w:val="en-US" w:eastAsia="zh-CN"/>
        </w:rPr>
        <w:t>施工前应对拟建区域实际地址进行探明，并委托具有相应资质的单位出具相关地质报告。</w:t>
      </w:r>
    </w:p>
    <w:p w14:paraId="6C8C3C8F">
      <w:pPr>
        <w:pStyle w:val="35"/>
        <w:numPr>
          <w:ilvl w:val="0"/>
          <w:numId w:val="0"/>
        </w:numPr>
        <w:adjustRightInd w:val="0"/>
        <w:snapToGrid w:val="0"/>
        <w:ind w:left="420" w:leftChars="0"/>
        <w:outlineLvl w:val="1"/>
        <w:rPr>
          <w:rFonts w:hint="eastAsia" w:ascii="仿宋" w:hAnsi="仿宋" w:eastAsia="仿宋" w:cs="仿宋"/>
          <w:b/>
          <w:color w:val="auto"/>
          <w:szCs w:val="28"/>
          <w:highlight w:val="none"/>
          <w:lang w:eastAsia="zh-CN"/>
        </w:rPr>
      </w:pPr>
      <w:r>
        <w:rPr>
          <w:rFonts w:hint="eastAsia" w:ascii="仿宋" w:hAnsi="仿宋" w:eastAsia="仿宋" w:cs="仿宋"/>
          <w:b/>
          <w:color w:val="auto"/>
          <w:szCs w:val="28"/>
          <w:highlight w:val="none"/>
          <w:lang w:val="en-US" w:eastAsia="zh-CN"/>
        </w:rPr>
        <w:t>7.5</w:t>
      </w:r>
      <w:r>
        <w:rPr>
          <w:rFonts w:hint="eastAsia" w:ascii="仿宋" w:hAnsi="仿宋" w:eastAsia="仿宋" w:cs="仿宋"/>
          <w:b/>
          <w:color w:val="auto"/>
          <w:szCs w:val="28"/>
          <w:highlight w:val="none"/>
          <w:lang w:eastAsia="zh-CN"/>
        </w:rPr>
        <w:t>设计原则及工程设计指标</w:t>
      </w:r>
    </w:p>
    <w:p w14:paraId="299E0791">
      <w:pPr>
        <w:pStyle w:val="35"/>
        <w:keepNext w:val="0"/>
        <w:keepLines w:val="0"/>
        <w:pageBreakBefore w:val="0"/>
        <w:widowControl w:val="0"/>
        <w:numPr>
          <w:ilvl w:val="0"/>
          <w:numId w:val="0"/>
        </w:numPr>
        <w:kinsoku/>
        <w:wordWrap/>
        <w:overflowPunct/>
        <w:topLinePunct w:val="0"/>
        <w:autoSpaceDE/>
        <w:autoSpaceDN/>
        <w:bidi w:val="0"/>
        <w:adjustRightInd w:val="0"/>
        <w:snapToGrid w:val="0"/>
        <w:ind w:left="420" w:leftChars="0"/>
        <w:textAlignment w:val="auto"/>
        <w:outlineLvl w:val="2"/>
        <w:rPr>
          <w:rFonts w:hint="eastAsia" w:ascii="仿宋" w:hAnsi="仿宋" w:eastAsia="仿宋" w:cs="仿宋"/>
          <w:b/>
          <w:color w:val="auto"/>
          <w:szCs w:val="28"/>
          <w:highlight w:val="none"/>
          <w:lang w:val="en-US" w:eastAsia="zh-CN"/>
        </w:rPr>
      </w:pPr>
      <w:r>
        <w:rPr>
          <w:rFonts w:hint="eastAsia" w:ascii="仿宋" w:hAnsi="仿宋" w:eastAsia="仿宋" w:cs="仿宋"/>
          <w:b/>
          <w:color w:val="auto"/>
          <w:szCs w:val="28"/>
          <w:highlight w:val="none"/>
          <w:lang w:val="en-US" w:eastAsia="zh-CN"/>
        </w:rPr>
        <w:t>7.5.1设计原则</w:t>
      </w:r>
    </w:p>
    <w:p w14:paraId="2D4EFBF4">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设计采用动态设计法，施工采用信息法施工。</w:t>
      </w:r>
    </w:p>
    <w:p w14:paraId="7766D60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边坡设计以"安全、经济、实用、美观"为原则，施工时设置监测系统，根据施工情况随时反馈信息，根据实际情况对本设计做修改和补充。</w:t>
      </w:r>
    </w:p>
    <w:p w14:paraId="41EEBC64">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施工前应对地质进行探明，并委托具有相应资质的单位出具相关地质报告，并反馈设计进行复核，以便复核、调整设计。</w:t>
      </w:r>
      <w:r>
        <w:rPr>
          <w:rFonts w:hint="eastAsia" w:ascii="仿宋" w:hAnsi="仿宋" w:eastAsia="仿宋" w:cs="仿宋"/>
          <w:color w:val="auto"/>
          <w:sz w:val="28"/>
          <w:szCs w:val="28"/>
          <w:highlight w:val="none"/>
          <w:lang w:val="en-US" w:eastAsia="zh-CN"/>
        </w:rPr>
        <w:t>永久性边坡工程竣工后，监测时间不得少于二年。</w:t>
      </w:r>
    </w:p>
    <w:p w14:paraId="2FAD2319">
      <w:pPr>
        <w:pStyle w:val="35"/>
        <w:keepNext w:val="0"/>
        <w:keepLines w:val="0"/>
        <w:pageBreakBefore w:val="0"/>
        <w:widowControl w:val="0"/>
        <w:numPr>
          <w:ilvl w:val="0"/>
          <w:numId w:val="0"/>
        </w:numPr>
        <w:kinsoku/>
        <w:wordWrap/>
        <w:overflowPunct/>
        <w:topLinePunct w:val="0"/>
        <w:autoSpaceDE/>
        <w:autoSpaceDN/>
        <w:bidi w:val="0"/>
        <w:adjustRightInd w:val="0"/>
        <w:snapToGrid w:val="0"/>
        <w:ind w:left="420" w:leftChars="0"/>
        <w:textAlignment w:val="auto"/>
        <w:outlineLvl w:val="2"/>
        <w:rPr>
          <w:rFonts w:hint="eastAsia" w:ascii="仿宋" w:hAnsi="仿宋" w:eastAsia="仿宋" w:cs="仿宋"/>
          <w:b/>
          <w:color w:val="auto"/>
          <w:szCs w:val="28"/>
          <w:highlight w:val="none"/>
          <w:lang w:val="en-US" w:eastAsia="zh-CN"/>
        </w:rPr>
      </w:pPr>
      <w:r>
        <w:rPr>
          <w:rFonts w:hint="eastAsia" w:ascii="仿宋" w:hAnsi="仿宋" w:eastAsia="仿宋" w:cs="仿宋"/>
          <w:b/>
          <w:color w:val="auto"/>
          <w:szCs w:val="28"/>
          <w:highlight w:val="none"/>
          <w:lang w:val="en-US" w:eastAsia="zh-CN"/>
        </w:rPr>
        <w:t>7.5.2工程设计指标</w:t>
      </w:r>
    </w:p>
    <w:p w14:paraId="291BD5F9">
      <w:pPr>
        <w:pStyle w:val="35"/>
        <w:keepNext w:val="0"/>
        <w:keepLines w:val="0"/>
        <w:pageBreakBefore w:val="0"/>
        <w:widowControl w:val="0"/>
        <w:numPr>
          <w:ilvl w:val="0"/>
          <w:numId w:val="0"/>
        </w:numPr>
        <w:kinsoku/>
        <w:wordWrap/>
        <w:overflowPunct/>
        <w:topLinePunct w:val="0"/>
        <w:autoSpaceDE/>
        <w:autoSpaceDN/>
        <w:bidi w:val="0"/>
        <w:adjustRightInd w:val="0"/>
        <w:snapToGrid w:val="0"/>
        <w:ind w:left="420" w:leftChars="0"/>
        <w:textAlignment w:val="auto"/>
        <w:outlineLvl w:val="3"/>
        <w:rPr>
          <w:rFonts w:hint="default" w:ascii="仿宋" w:hAnsi="仿宋" w:eastAsia="仿宋" w:cs="仿宋"/>
          <w:b/>
          <w:color w:val="auto"/>
          <w:szCs w:val="28"/>
          <w:highlight w:val="none"/>
          <w:lang w:val="en-US" w:eastAsia="zh-CN"/>
        </w:rPr>
      </w:pPr>
      <w:r>
        <w:rPr>
          <w:rFonts w:hint="eastAsia" w:ascii="仿宋" w:hAnsi="仿宋" w:eastAsia="仿宋" w:cs="仿宋"/>
          <w:b/>
          <w:color w:val="auto"/>
          <w:szCs w:val="28"/>
          <w:highlight w:val="none"/>
          <w:lang w:val="en-US" w:eastAsia="zh-CN"/>
        </w:rPr>
        <w:t>7.5.2.1边坡及基坑</w:t>
      </w:r>
    </w:p>
    <w:p w14:paraId="4A5DF40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根据项目拟建道路、管网平纵资料及本项目地质勘查报告显示，本项目存在临时便道两侧存在挖填、方边坡以及拟建管网开挖时存在临时基坑。</w:t>
      </w:r>
    </w:p>
    <w:p w14:paraId="769B0CE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安全等级：均为二级。</w:t>
      </w:r>
    </w:p>
    <w:p w14:paraId="03789DF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边坡防护工程设计安全系数：永久边坡取1.30（二级）；临时边坡取1.20（二级）。</w:t>
      </w:r>
    </w:p>
    <w:p w14:paraId="4051421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边坡重要性系数：1.0（二级）。</w:t>
      </w:r>
    </w:p>
    <w:p w14:paraId="5A1900B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使用年限：临时边坡支护设计工作年限为不超过2年（为临时便道附属工程，故为临时工程）。</w:t>
      </w:r>
    </w:p>
    <w:p w14:paraId="3943232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综合道路施工期间和使用期间荷载，取20kPa；临时便道边坡坡顶荷载，不超过4kPa；坑顶及坡顶地面3m范围内严禁堆载。</w:t>
      </w:r>
    </w:p>
    <w:p w14:paraId="1BD5EB2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imes New Roman" w:eastAsia="仿宋" w:cs="Times New Roman"/>
          <w:color w:val="auto"/>
          <w:highlight w:val="none"/>
          <w:lang w:eastAsia="zh-CN"/>
        </w:rPr>
      </w:pPr>
      <w:r>
        <w:rPr>
          <w:rFonts w:hint="eastAsia" w:ascii="仿宋" w:hAnsi="仿宋" w:eastAsia="仿宋" w:cs="仿宋"/>
          <w:color w:val="auto"/>
          <w:sz w:val="28"/>
          <w:szCs w:val="28"/>
          <w:highlight w:val="none"/>
          <w:lang w:val="en-US" w:eastAsia="zh-CN"/>
        </w:rPr>
        <w:t>本边坡工程应严格按“</w:t>
      </w:r>
      <w:r>
        <w:rPr>
          <w:rFonts w:hint="eastAsia" w:ascii="仿宋" w:hAnsi="仿宋" w:eastAsia="仿宋" w:cs="仿宋"/>
          <w:b/>
          <w:bCs/>
          <w:color w:val="auto"/>
          <w:sz w:val="28"/>
          <w:szCs w:val="28"/>
          <w:highlight w:val="none"/>
          <w:lang w:val="en-US" w:eastAsia="zh-CN"/>
        </w:rPr>
        <w:t>动态设计、信息施工</w:t>
      </w:r>
      <w:r>
        <w:rPr>
          <w:rFonts w:hint="eastAsia" w:ascii="仿宋" w:hAnsi="仿宋" w:eastAsia="仿宋" w:cs="仿宋"/>
          <w:color w:val="auto"/>
          <w:sz w:val="28"/>
          <w:szCs w:val="28"/>
          <w:highlight w:val="none"/>
          <w:lang w:val="en-US" w:eastAsia="zh-CN"/>
        </w:rPr>
        <w:t>”的原则，应严格按照</w:t>
      </w:r>
      <w:r>
        <w:rPr>
          <w:rFonts w:hint="eastAsia" w:ascii="仿宋" w:hAnsi="仿宋" w:eastAsia="仿宋" w:cs="仿宋"/>
          <w:b/>
          <w:bCs/>
          <w:color w:val="auto"/>
          <w:sz w:val="28"/>
          <w:szCs w:val="28"/>
          <w:highlight w:val="none"/>
          <w:lang w:val="en-US" w:eastAsia="zh-CN"/>
        </w:rPr>
        <w:t>逆作法</w:t>
      </w:r>
      <w:r>
        <w:rPr>
          <w:rFonts w:hint="eastAsia" w:ascii="仿宋" w:hAnsi="仿宋" w:eastAsia="仿宋" w:cs="仿宋"/>
          <w:color w:val="auto"/>
          <w:sz w:val="28"/>
          <w:szCs w:val="28"/>
          <w:highlight w:val="none"/>
          <w:lang w:val="en-US" w:eastAsia="zh-CN"/>
        </w:rPr>
        <w:t>进行实施，应分段跳槽开挖实施，严禁大面积开挖施工，拟建项目区</w:t>
      </w:r>
      <w:r>
        <w:rPr>
          <w:rFonts w:hint="eastAsia" w:ascii="仿宋" w:hAnsi="仿宋" w:eastAsia="仿宋" w:cs="仿宋"/>
          <w:b/>
          <w:bCs/>
          <w:color w:val="auto"/>
          <w:sz w:val="28"/>
          <w:szCs w:val="28"/>
          <w:highlight w:val="none"/>
          <w:lang w:val="en-US" w:eastAsia="zh-CN"/>
        </w:rPr>
        <w:t>严禁爆破施工</w:t>
      </w:r>
      <w:r>
        <w:rPr>
          <w:rFonts w:hint="eastAsia" w:ascii="仿宋" w:hAnsi="仿宋" w:eastAsia="仿宋" w:cs="仿宋"/>
          <w:color w:val="auto"/>
          <w:sz w:val="28"/>
          <w:szCs w:val="28"/>
          <w:highlight w:val="none"/>
          <w:lang w:val="en-US" w:eastAsia="zh-CN"/>
        </w:rPr>
        <w:t>。基坑工程采用</w:t>
      </w:r>
      <w:r>
        <w:rPr>
          <w:rFonts w:hint="eastAsia" w:ascii="仿宋" w:hAnsi="仿宋" w:eastAsia="仿宋" w:cs="仿宋"/>
          <w:b/>
          <w:bCs/>
          <w:color w:val="auto"/>
          <w:sz w:val="28"/>
          <w:szCs w:val="28"/>
          <w:highlight w:val="none"/>
          <w:lang w:val="en-US" w:eastAsia="zh-CN"/>
        </w:rPr>
        <w:t>先支护、后开挖，自上而下、分段分层开挖原则施工</w:t>
      </w:r>
      <w:r>
        <w:rPr>
          <w:rFonts w:hint="eastAsia" w:ascii="仿宋" w:hAnsi="仿宋" w:eastAsia="仿宋" w:cs="仿宋"/>
          <w:color w:val="auto"/>
          <w:sz w:val="28"/>
          <w:szCs w:val="28"/>
          <w:highlight w:val="none"/>
          <w:lang w:val="en-US" w:eastAsia="zh-CN"/>
        </w:rPr>
        <w:t>。</w:t>
      </w:r>
      <w:r>
        <w:rPr>
          <w:rFonts w:ascii="Times New Roman" w:eastAsia="仿宋" w:cs="Times New Roman"/>
          <w:color w:val="auto"/>
          <w:highlight w:val="none"/>
        </w:rPr>
        <w:t>施工时应加强监测，设计根据现场地质情况及监测报告合理优化，动态设计，以确保结构的安全</w:t>
      </w:r>
      <w:r>
        <w:rPr>
          <w:rFonts w:hint="eastAsia" w:ascii="Times New Roman" w:eastAsia="仿宋" w:cs="Times New Roman"/>
          <w:color w:val="auto"/>
          <w:highlight w:val="none"/>
          <w:lang w:eastAsia="zh-CN"/>
        </w:rPr>
        <w:t>。</w:t>
      </w:r>
    </w:p>
    <w:p w14:paraId="7AA0E4DC">
      <w:pPr>
        <w:pStyle w:val="35"/>
        <w:keepNext w:val="0"/>
        <w:keepLines w:val="0"/>
        <w:pageBreakBefore w:val="0"/>
        <w:widowControl w:val="0"/>
        <w:numPr>
          <w:ilvl w:val="0"/>
          <w:numId w:val="0"/>
        </w:numPr>
        <w:kinsoku/>
        <w:wordWrap/>
        <w:overflowPunct/>
        <w:topLinePunct w:val="0"/>
        <w:autoSpaceDE/>
        <w:autoSpaceDN/>
        <w:bidi w:val="0"/>
        <w:adjustRightInd w:val="0"/>
        <w:snapToGrid w:val="0"/>
        <w:ind w:left="420" w:leftChars="0"/>
        <w:textAlignment w:val="auto"/>
        <w:outlineLvl w:val="3"/>
        <w:rPr>
          <w:rFonts w:hint="default" w:ascii="仿宋" w:hAnsi="仿宋" w:eastAsia="仿宋" w:cs="仿宋"/>
          <w:b/>
          <w:color w:val="auto"/>
          <w:szCs w:val="28"/>
          <w:highlight w:val="none"/>
          <w:lang w:val="en-US" w:eastAsia="zh-CN"/>
        </w:rPr>
      </w:pPr>
      <w:r>
        <w:rPr>
          <w:rFonts w:hint="eastAsia" w:ascii="仿宋" w:hAnsi="仿宋" w:eastAsia="仿宋" w:cs="仿宋"/>
          <w:b/>
          <w:color w:val="auto"/>
          <w:szCs w:val="28"/>
          <w:highlight w:val="none"/>
          <w:lang w:val="en-US" w:eastAsia="zh-CN"/>
        </w:rPr>
        <w:t>7.5.2.2排水结构主要技术标准</w:t>
      </w:r>
    </w:p>
    <w:p w14:paraId="1E79794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（1）结构设计工作年限为50年。</w:t>
      </w:r>
    </w:p>
    <w:p w14:paraId="6B3C509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（2）结构安全等级为二级，结构重要性系数为1.0。</w:t>
      </w:r>
    </w:p>
    <w:p w14:paraId="73D3CD1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（3）混凝土结构环境类别：地下结构中露天或迎土面混凝土构件的环境类别为Ⅰ类，Ⅰ－B级。</w:t>
      </w:r>
    </w:p>
    <w:p w14:paraId="6F8AF66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（4）钢筋混凝土保护层厚度应符合设计要求，其中地下构筑物等与土体直接接触面不小于40mm，其他为不小于35mm。</w:t>
      </w:r>
    </w:p>
    <w:p w14:paraId="30856FC5">
      <w:pPr>
        <w:pStyle w:val="35"/>
        <w:numPr>
          <w:ilvl w:val="0"/>
          <w:numId w:val="0"/>
        </w:numPr>
        <w:adjustRightInd w:val="0"/>
        <w:snapToGrid w:val="0"/>
        <w:ind w:left="420" w:leftChars="0"/>
        <w:outlineLvl w:val="1"/>
        <w:rPr>
          <w:rFonts w:hint="eastAsia" w:ascii="仿宋" w:hAnsi="仿宋" w:eastAsia="仿宋" w:cs="仿宋"/>
          <w:b/>
          <w:color w:val="auto"/>
          <w:szCs w:val="28"/>
          <w:highlight w:val="none"/>
          <w:lang w:eastAsia="zh-CN"/>
        </w:rPr>
      </w:pPr>
      <w:r>
        <w:rPr>
          <w:rFonts w:hint="eastAsia" w:ascii="仿宋" w:hAnsi="仿宋" w:eastAsia="仿宋" w:cs="仿宋"/>
          <w:b/>
          <w:color w:val="auto"/>
          <w:szCs w:val="28"/>
          <w:highlight w:val="none"/>
          <w:lang w:val="en-US" w:eastAsia="zh-CN"/>
        </w:rPr>
        <w:t>7.6</w:t>
      </w:r>
      <w:r>
        <w:rPr>
          <w:rFonts w:hint="eastAsia" w:ascii="仿宋" w:hAnsi="仿宋" w:eastAsia="仿宋" w:cs="仿宋"/>
          <w:b/>
          <w:color w:val="auto"/>
          <w:szCs w:val="28"/>
          <w:highlight w:val="none"/>
          <w:lang w:eastAsia="zh-CN"/>
        </w:rPr>
        <w:t>岩土参数选取</w:t>
      </w:r>
    </w:p>
    <w:p w14:paraId="701381F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暂无，施工前应加强地质探明工作，并委托具有相应资质单位出具相关地质报告。</w:t>
      </w:r>
    </w:p>
    <w:p w14:paraId="7CF1617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对于填方边坡，要求斜坡地带清除表层土体至土岩界面线位置，后采取台阶开挖回填（具体详本项目道路工程相关图说），回填填料压实后综合内摩擦角不低于35°（饱和工况）。</w:t>
      </w:r>
    </w:p>
    <w:p w14:paraId="71F125F9">
      <w:pPr>
        <w:pStyle w:val="35"/>
        <w:numPr>
          <w:ilvl w:val="0"/>
          <w:numId w:val="0"/>
        </w:numPr>
        <w:adjustRightInd w:val="0"/>
        <w:snapToGrid w:val="0"/>
        <w:ind w:left="420" w:leftChars="0"/>
        <w:outlineLvl w:val="1"/>
        <w:rPr>
          <w:rFonts w:hint="eastAsia" w:ascii="仿宋" w:hAnsi="仿宋" w:eastAsia="仿宋" w:cs="仿宋"/>
          <w:b/>
          <w:color w:val="auto"/>
          <w:szCs w:val="28"/>
          <w:highlight w:val="none"/>
          <w:lang w:eastAsia="zh-CN"/>
        </w:rPr>
      </w:pPr>
      <w:r>
        <w:rPr>
          <w:rFonts w:hint="eastAsia" w:ascii="仿宋" w:hAnsi="仿宋" w:eastAsia="仿宋" w:cs="仿宋"/>
          <w:b/>
          <w:color w:val="auto"/>
          <w:szCs w:val="28"/>
          <w:highlight w:val="none"/>
          <w:lang w:val="en-US" w:eastAsia="zh-CN"/>
        </w:rPr>
        <w:t>7.7边坡支护</w:t>
      </w:r>
      <w:r>
        <w:rPr>
          <w:rFonts w:hint="eastAsia" w:ascii="仿宋" w:hAnsi="仿宋" w:eastAsia="仿宋" w:cs="仿宋"/>
          <w:b/>
          <w:color w:val="auto"/>
          <w:szCs w:val="28"/>
          <w:highlight w:val="none"/>
          <w:lang w:eastAsia="zh-CN"/>
        </w:rPr>
        <w:t>设计</w:t>
      </w:r>
    </w:p>
    <w:p w14:paraId="54A2F7B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根据项目拟建道路、管网平纵资料及本项目地质勘查报告显示，本项目存在临时便道两侧存在挖填、方边坡以及拟建管网开挖时存在临时基坑。</w:t>
      </w:r>
    </w:p>
    <w:p w14:paraId="3B6F68A0">
      <w:pPr>
        <w:pStyle w:val="35"/>
        <w:keepNext w:val="0"/>
        <w:keepLines w:val="0"/>
        <w:pageBreakBefore w:val="0"/>
        <w:widowControl w:val="0"/>
        <w:numPr>
          <w:ilvl w:val="0"/>
          <w:numId w:val="0"/>
        </w:numPr>
        <w:kinsoku/>
        <w:wordWrap/>
        <w:overflowPunct/>
        <w:topLinePunct w:val="0"/>
        <w:autoSpaceDE/>
        <w:autoSpaceDN/>
        <w:bidi w:val="0"/>
        <w:adjustRightInd w:val="0"/>
        <w:snapToGrid w:val="0"/>
        <w:ind w:left="420" w:leftChars="0"/>
        <w:textAlignment w:val="auto"/>
        <w:outlineLvl w:val="2"/>
        <w:rPr>
          <w:rFonts w:hint="eastAsia" w:ascii="仿宋" w:hAnsi="仿宋" w:eastAsia="仿宋" w:cs="仿宋"/>
          <w:b/>
          <w:color w:val="auto"/>
          <w:szCs w:val="28"/>
          <w:highlight w:val="none"/>
          <w:lang w:val="en-US" w:eastAsia="zh-CN"/>
        </w:rPr>
      </w:pPr>
      <w:r>
        <w:rPr>
          <w:rFonts w:hint="eastAsia" w:ascii="仿宋" w:hAnsi="仿宋" w:eastAsia="仿宋" w:cs="仿宋"/>
          <w:b/>
          <w:color w:val="auto"/>
          <w:szCs w:val="28"/>
          <w:highlight w:val="none"/>
          <w:lang w:val="en-US" w:eastAsia="zh-CN"/>
        </w:rPr>
        <w:t>7.7.1临时便道边坡</w:t>
      </w:r>
    </w:p>
    <w:p w14:paraId="3F274B8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7.7.1.1填方段</w:t>
      </w:r>
    </w:p>
    <w:p w14:paraId="0042CF4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本次拟采用分级（每8m一阶）放坡进行填筑，其坡率为：1：1.5+1：1.75坡率分级放坡回填。</w:t>
      </w:r>
    </w:p>
    <w:p w14:paraId="65707C8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对于高差≥4.0m填方边坡采用花格植草护坡（设置形式详见大样图）进行坡面防护，坡高&lt;4.0m边坡采用直接喷播植草支护（特殊说明除外）；对于施工过程中明确的临时边坡视其使用年限确定其坡面防护形式（近期将平场的边坡不进行坡面防护，对于近期不进行平场的边坡其坡面处置形式按设计进行设置）。</w:t>
      </w:r>
    </w:p>
    <w:p w14:paraId="5F4F61D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7.7.1.2挖方段</w:t>
      </w:r>
    </w:p>
    <w:p w14:paraId="181C682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根据本项目道路平纵等资料及结合现场实际情况等确定，由于拟建项目周边暂未需要保护的既有构筑物，本次设计挖方边坡拟采用分级（每8m一阶）放坡开挖。具体坡率为：</w:t>
      </w:r>
    </w:p>
    <w:p w14:paraId="1E4ED60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土质及强风化岩质边坡：1:1.5（特殊说明处除外）；中风化岩质边坡1:1.0坡率，每阶间设置2m平台。</w:t>
      </w:r>
    </w:p>
    <w:p w14:paraId="7F8537D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对于坡高≥4.0m的永久性边坡采用花格植草护坡、锚喷支护（设置形式详见大样图）进行坡面防护，坡高&lt;4.0m边坡采用直接喷播植草（特殊说明除外）；对于施工过程中明确的临时边坡视其使用年限确定其坡面防护形式（近期将平场的边坡不进行坡面防护，对于近期不进行平场的边坡其坡面处置形式按设计进行设置）。</w:t>
      </w:r>
    </w:p>
    <w:p w14:paraId="0DE339B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7.7.1.3挡墙段（K0+200～K0+215右侧）</w:t>
      </w:r>
    </w:p>
    <w:p w14:paraId="7B5CEC6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根据项目拟建道路、纵资料及拟建便道红线，拟建临时便道在K0+200～K0+215段右侧填方将超出红线范围，故需设置挡墙进行挡护，本次设计拟在红线位置设置衡重式路堤挡墙进行挡护，对墙前斜坡采取缓坡回填（挡墙临时基槽开挖及缓坡回填将临时超红线，存在临时征地，待基槽及缓坡回填完成后可同面积归还）。</w:t>
      </w:r>
    </w:p>
    <w:p w14:paraId="614920F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挡土墙设计材料为C25片石混凝土，片石体积不超过20%。片石强度不小于MU30。挡墙地基纵坡坡度大于5%时，基底应做成台阶。</w:t>
      </w:r>
    </w:p>
    <w:p w14:paraId="59FEFBA5">
      <w:pPr>
        <w:pStyle w:val="35"/>
        <w:keepNext w:val="0"/>
        <w:keepLines w:val="0"/>
        <w:pageBreakBefore w:val="0"/>
        <w:widowControl w:val="0"/>
        <w:numPr>
          <w:ilvl w:val="0"/>
          <w:numId w:val="0"/>
        </w:numPr>
        <w:kinsoku/>
        <w:wordWrap/>
        <w:overflowPunct/>
        <w:topLinePunct w:val="0"/>
        <w:autoSpaceDE/>
        <w:autoSpaceDN/>
        <w:bidi w:val="0"/>
        <w:adjustRightInd w:val="0"/>
        <w:snapToGrid w:val="0"/>
        <w:ind w:left="420" w:leftChars="0"/>
        <w:textAlignment w:val="auto"/>
        <w:outlineLvl w:val="2"/>
        <w:rPr>
          <w:rFonts w:hint="eastAsia" w:ascii="仿宋" w:hAnsi="仿宋" w:eastAsia="仿宋" w:cs="仿宋"/>
          <w:b/>
          <w:color w:val="auto"/>
          <w:szCs w:val="28"/>
          <w:highlight w:val="none"/>
          <w:lang w:val="en-US" w:eastAsia="zh-CN"/>
        </w:rPr>
      </w:pPr>
      <w:bookmarkStart w:id="76" w:name="_Toc190696658"/>
      <w:r>
        <w:rPr>
          <w:rFonts w:hint="eastAsia" w:ascii="仿宋" w:hAnsi="仿宋" w:eastAsia="仿宋" w:cs="仿宋"/>
          <w:b/>
          <w:color w:val="auto"/>
          <w:szCs w:val="28"/>
          <w:highlight w:val="none"/>
          <w:lang w:val="en-US" w:eastAsia="zh-CN"/>
        </w:rPr>
        <w:t>7.7.2坡区综合排水和坡顶隔离措施</w:t>
      </w:r>
      <w:bookmarkEnd w:id="76"/>
    </w:p>
    <w:p w14:paraId="7873F0C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（1）永久填方边坡坡脚设置排水沟。</w:t>
      </w:r>
    </w:p>
    <w:p w14:paraId="4D3AB11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（2）高边坡坡顶设置隔离栏杆，防止人群坠落。</w:t>
      </w:r>
    </w:p>
    <w:p w14:paraId="1513667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（3）临时基坑不应雨天开挖，基坑底出现积水处应及时抽水。</w:t>
      </w:r>
    </w:p>
    <w:p w14:paraId="64FC6A84">
      <w:pPr>
        <w:pStyle w:val="35"/>
        <w:keepNext w:val="0"/>
        <w:keepLines w:val="0"/>
        <w:pageBreakBefore w:val="0"/>
        <w:widowControl w:val="0"/>
        <w:numPr>
          <w:ilvl w:val="0"/>
          <w:numId w:val="0"/>
        </w:numPr>
        <w:kinsoku/>
        <w:wordWrap/>
        <w:overflowPunct/>
        <w:topLinePunct w:val="0"/>
        <w:autoSpaceDE/>
        <w:autoSpaceDN/>
        <w:bidi w:val="0"/>
        <w:adjustRightInd w:val="0"/>
        <w:snapToGrid w:val="0"/>
        <w:ind w:left="420" w:leftChars="0"/>
        <w:textAlignment w:val="auto"/>
        <w:outlineLvl w:val="2"/>
        <w:rPr>
          <w:rFonts w:hint="eastAsia" w:ascii="仿宋" w:hAnsi="仿宋" w:eastAsia="仿宋" w:cs="仿宋"/>
          <w:b/>
          <w:color w:val="auto"/>
          <w:szCs w:val="28"/>
          <w:highlight w:val="none"/>
          <w:lang w:val="en-US" w:eastAsia="zh-CN"/>
        </w:rPr>
      </w:pPr>
      <w:bookmarkStart w:id="77" w:name="_Toc190696659"/>
      <w:r>
        <w:rPr>
          <w:rFonts w:hint="eastAsia" w:ascii="仿宋" w:hAnsi="仿宋" w:eastAsia="仿宋" w:cs="仿宋"/>
          <w:b/>
          <w:color w:val="auto"/>
          <w:szCs w:val="28"/>
          <w:highlight w:val="none"/>
          <w:lang w:val="en-US" w:eastAsia="zh-CN"/>
        </w:rPr>
        <w:t>7.7.4边坡支护工程结构构造</w:t>
      </w:r>
      <w:bookmarkEnd w:id="77"/>
    </w:p>
    <w:p w14:paraId="266DEBF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8.7.4.1花格植草护坡</w:t>
      </w:r>
    </w:p>
    <w:p w14:paraId="0C1E109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花格采用机制C25砼花格（180x180mm）。压顶梁及底梁采用C25砼（具体尺寸详见大样图）。当边坡（填方、挖方）高度≥4.0m时，采用花格植草护坡防护。填方边坡坡脚设置截排水边沟收集坡面排水。边坡坡面应种植利于陡坡生长的草籽,混播草籽各品种混合比例暂定为:台湾2号:高羊茅:多年生黑麦草:格桑花:紫穗槐:双英决明=3:2:1.5:1.5:1:1，后期业主若需调整则以业主意见为准。</w:t>
      </w:r>
    </w:p>
    <w:p w14:paraId="033714C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8.7.4.2衡重式路堤挡墙</w:t>
      </w:r>
    </w:p>
    <w:p w14:paraId="614F1A3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挡土墙设计材料为C25片石混凝土，片石体积不超过20%。片石强度不小于MU30。挡墙地基纵坡坡度大于5%时，基底应做成台阶。</w:t>
      </w:r>
    </w:p>
    <w:p w14:paraId="0167D85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应根据地形及地质变化情况设置变形缝，间距</w:t>
      </w: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lang w:val="zh-CN" w:eastAsia="zh-CN"/>
        </w:rPr>
        <w:t>m</w:t>
      </w:r>
      <w:r>
        <w:rPr>
          <w:rFonts w:hint="eastAsia" w:ascii="仿宋" w:hAnsi="仿宋" w:eastAsia="仿宋" w:cs="仿宋"/>
          <w:color w:val="auto"/>
          <w:sz w:val="28"/>
          <w:szCs w:val="28"/>
          <w:highlight w:val="none"/>
          <w:lang w:val="en-US" w:eastAsia="zh-CN"/>
        </w:rPr>
        <w:t>～20</w:t>
      </w:r>
      <w:r>
        <w:rPr>
          <w:rFonts w:hint="eastAsia" w:ascii="仿宋" w:hAnsi="仿宋" w:eastAsia="仿宋" w:cs="仿宋"/>
          <w:color w:val="auto"/>
          <w:sz w:val="28"/>
          <w:szCs w:val="28"/>
          <w:highlight w:val="none"/>
          <w:lang w:val="zh-CN" w:eastAsia="zh-CN"/>
        </w:rPr>
        <w:t>m左右，在基底高差变化处亦需留置。缝宽20mm，缝中应填塞沥青麻筋或其他有弹性的防水材料，填塞深度</w:t>
      </w:r>
      <w:r>
        <w:rPr>
          <w:rFonts w:hint="eastAsia" w:ascii="仿宋" w:hAnsi="仿宋" w:eastAsia="仿宋" w:cs="仿宋"/>
          <w:color w:val="auto"/>
          <w:sz w:val="28"/>
          <w:szCs w:val="28"/>
          <w:highlight w:val="none"/>
          <w:lang w:val="en-US" w:eastAsia="zh-CN"/>
        </w:rPr>
        <w:t>15</w:t>
      </w:r>
      <w:r>
        <w:rPr>
          <w:rFonts w:hint="eastAsia" w:ascii="仿宋" w:hAnsi="仿宋" w:eastAsia="仿宋" w:cs="仿宋"/>
          <w:color w:val="auto"/>
          <w:sz w:val="28"/>
          <w:szCs w:val="28"/>
          <w:highlight w:val="none"/>
          <w:lang w:val="zh-CN" w:eastAsia="zh-CN"/>
        </w:rPr>
        <w:t>cm。</w:t>
      </w:r>
    </w:p>
    <w:p w14:paraId="34A5C38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color w:val="auto"/>
          <w:highlight w:val="none"/>
          <w:lang w:val="en-US" w:eastAsia="zh-CN"/>
        </w:rPr>
      </w:pPr>
      <w:r>
        <w:rPr>
          <w:rFonts w:hint="eastAsia" w:ascii="仿宋" w:hAnsi="仿宋" w:eastAsia="仿宋" w:cs="仿宋"/>
          <w:color w:val="auto"/>
          <w:sz w:val="28"/>
          <w:szCs w:val="28"/>
          <w:highlight w:val="none"/>
          <w:lang w:val="zh-CN" w:eastAsia="zh-CN"/>
        </w:rPr>
        <w:t>墙身背侧设置50cm厚级配</w:t>
      </w:r>
      <w:r>
        <w:rPr>
          <w:rFonts w:hint="eastAsia" w:ascii="仿宋" w:hAnsi="仿宋" w:eastAsia="仿宋" w:cs="仿宋"/>
          <w:color w:val="auto"/>
          <w:sz w:val="28"/>
          <w:szCs w:val="28"/>
          <w:highlight w:val="none"/>
          <w:lang w:val="en-US" w:eastAsia="zh-CN"/>
        </w:rPr>
        <w:t>碎石</w:t>
      </w:r>
      <w:r>
        <w:rPr>
          <w:rFonts w:hint="eastAsia" w:ascii="仿宋" w:hAnsi="仿宋" w:eastAsia="仿宋" w:cs="仿宋"/>
          <w:color w:val="auto"/>
          <w:sz w:val="28"/>
          <w:szCs w:val="28"/>
          <w:highlight w:val="none"/>
          <w:lang w:val="zh-CN" w:eastAsia="zh-CN"/>
        </w:rPr>
        <w:t>反滤层，挡土墙内布置直径100mmPVC泄水孔，间距2</w:t>
      </w:r>
      <w:r>
        <w:rPr>
          <w:rFonts w:hint="eastAsia" w:ascii="仿宋" w:hAnsi="仿宋" w:eastAsia="仿宋" w:cs="仿宋"/>
          <w:color w:val="auto"/>
          <w:sz w:val="28"/>
          <w:szCs w:val="28"/>
          <w:highlight w:val="none"/>
          <w:lang w:val="en-US" w:eastAsia="zh-CN"/>
        </w:rPr>
        <w:t>.0m</w:t>
      </w:r>
      <w:r>
        <w:rPr>
          <w:rFonts w:hint="eastAsia" w:ascii="仿宋" w:hAnsi="仿宋" w:eastAsia="仿宋" w:cs="仿宋"/>
          <w:color w:val="auto"/>
          <w:sz w:val="28"/>
          <w:szCs w:val="28"/>
          <w:highlight w:val="none"/>
          <w:lang w:val="zh-CN" w:eastAsia="zh-CN"/>
        </w:rPr>
        <w:t>×2</w:t>
      </w:r>
      <w:r>
        <w:rPr>
          <w:rFonts w:hint="eastAsia" w:ascii="仿宋" w:hAnsi="仿宋" w:eastAsia="仿宋" w:cs="仿宋"/>
          <w:color w:val="auto"/>
          <w:sz w:val="28"/>
          <w:szCs w:val="28"/>
          <w:highlight w:val="none"/>
          <w:lang w:val="en-US" w:eastAsia="zh-CN"/>
        </w:rPr>
        <w:t>.0m</w:t>
      </w:r>
      <w:r>
        <w:rPr>
          <w:rFonts w:hint="eastAsia" w:ascii="仿宋" w:hAnsi="仿宋" w:eastAsia="仿宋" w:cs="仿宋"/>
          <w:color w:val="auto"/>
          <w:sz w:val="28"/>
          <w:szCs w:val="28"/>
          <w:highlight w:val="none"/>
          <w:lang w:val="zh-CN" w:eastAsia="zh-CN"/>
        </w:rPr>
        <w:t>，泄水孔进水口应用土工布包裹，最下一排泄水孔在墙前地面以上0.3m。墙前基槽采用浆砌</w:t>
      </w:r>
      <w:r>
        <w:rPr>
          <w:rFonts w:hint="eastAsia" w:ascii="仿宋" w:hAnsi="仿宋" w:eastAsia="仿宋" w:cs="仿宋"/>
          <w:color w:val="auto"/>
          <w:sz w:val="28"/>
          <w:szCs w:val="28"/>
          <w:highlight w:val="none"/>
          <w:lang w:val="en-US" w:eastAsia="zh-CN"/>
        </w:rPr>
        <w:t>片石回填，墙后衡重台（或整个墙背）以下基槽采取浆砌片石回填（挡墙空间较小时可采取挡墙连巢浇筑或低标号混凝土回填）。</w:t>
      </w:r>
    </w:p>
    <w:p w14:paraId="52CDC3E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8.7.4.3喷播植草支护</w:t>
      </w:r>
    </w:p>
    <w:p w14:paraId="3CF0B46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边坡高度小于4米（除特殊说明外）的挖、填方边坡，坡面均采用直接喷播植草防护。</w:t>
      </w:r>
    </w:p>
    <w:p w14:paraId="725BDBD0">
      <w:pPr>
        <w:pStyle w:val="35"/>
        <w:numPr>
          <w:ilvl w:val="0"/>
          <w:numId w:val="0"/>
        </w:numPr>
        <w:adjustRightInd w:val="0"/>
        <w:snapToGrid w:val="0"/>
        <w:ind w:left="420" w:leftChars="0"/>
        <w:outlineLvl w:val="1"/>
        <w:rPr>
          <w:rFonts w:hint="eastAsia" w:ascii="仿宋" w:hAnsi="仿宋" w:eastAsia="仿宋" w:cs="仿宋"/>
          <w:b/>
          <w:color w:val="auto"/>
          <w:szCs w:val="28"/>
          <w:highlight w:val="none"/>
          <w:lang w:val="en-US" w:eastAsia="zh-CN"/>
        </w:rPr>
      </w:pPr>
      <w:bookmarkStart w:id="78" w:name="_Toc190696660"/>
      <w:r>
        <w:rPr>
          <w:rFonts w:hint="eastAsia" w:ascii="仿宋" w:hAnsi="仿宋" w:eastAsia="仿宋" w:cs="仿宋"/>
          <w:b/>
          <w:color w:val="auto"/>
          <w:szCs w:val="28"/>
          <w:highlight w:val="none"/>
          <w:lang w:val="en-US" w:eastAsia="zh-CN"/>
        </w:rPr>
        <w:t>7.8施工工序</w:t>
      </w:r>
      <w:bookmarkEnd w:id="78"/>
    </w:p>
    <w:p w14:paraId="6384519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边坡采用</w:t>
      </w:r>
      <w:r>
        <w:rPr>
          <w:rFonts w:hint="eastAsia" w:ascii="仿宋" w:hAnsi="仿宋" w:eastAsia="仿宋" w:cs="仿宋"/>
          <w:b/>
          <w:bCs/>
          <w:color w:val="auto"/>
          <w:sz w:val="28"/>
          <w:szCs w:val="28"/>
          <w:highlight w:val="none"/>
          <w:lang w:val="en-US" w:eastAsia="zh-CN"/>
        </w:rPr>
        <w:t>动态设计法</w:t>
      </w:r>
      <w:r>
        <w:rPr>
          <w:rFonts w:hint="eastAsia" w:ascii="仿宋" w:hAnsi="仿宋" w:eastAsia="仿宋" w:cs="仿宋"/>
          <w:color w:val="auto"/>
          <w:sz w:val="28"/>
          <w:szCs w:val="28"/>
          <w:highlight w:val="none"/>
          <w:lang w:val="en-US" w:eastAsia="zh-CN"/>
        </w:rPr>
        <w:t>，施工单位应采用</w:t>
      </w:r>
      <w:r>
        <w:rPr>
          <w:rFonts w:hint="eastAsia" w:ascii="仿宋" w:hAnsi="仿宋" w:eastAsia="仿宋" w:cs="仿宋"/>
          <w:b/>
          <w:bCs/>
          <w:color w:val="auto"/>
          <w:sz w:val="28"/>
          <w:szCs w:val="28"/>
          <w:highlight w:val="none"/>
          <w:lang w:val="en-US" w:eastAsia="zh-CN"/>
        </w:rPr>
        <w:t>信息法施工</w:t>
      </w:r>
      <w:r>
        <w:rPr>
          <w:rFonts w:hint="eastAsia" w:ascii="仿宋" w:hAnsi="仿宋" w:eastAsia="仿宋" w:cs="仿宋"/>
          <w:color w:val="auto"/>
          <w:sz w:val="28"/>
          <w:szCs w:val="28"/>
          <w:highlight w:val="none"/>
          <w:lang w:val="en-US" w:eastAsia="zh-CN"/>
        </w:rPr>
        <w:t>。施工期间进一步查验复核边坡岩层层面产状与结合程度。</w:t>
      </w:r>
    </w:p>
    <w:p w14:paraId="735898BC">
      <w:pPr>
        <w:pStyle w:val="35"/>
        <w:keepNext w:val="0"/>
        <w:keepLines w:val="0"/>
        <w:pageBreakBefore w:val="0"/>
        <w:widowControl w:val="0"/>
        <w:numPr>
          <w:ilvl w:val="0"/>
          <w:numId w:val="0"/>
        </w:numPr>
        <w:kinsoku/>
        <w:wordWrap/>
        <w:overflowPunct/>
        <w:topLinePunct w:val="0"/>
        <w:autoSpaceDE/>
        <w:autoSpaceDN/>
        <w:bidi w:val="0"/>
        <w:adjustRightInd w:val="0"/>
        <w:snapToGrid w:val="0"/>
        <w:ind w:left="420" w:leftChars="0"/>
        <w:textAlignment w:val="auto"/>
        <w:outlineLvl w:val="2"/>
        <w:rPr>
          <w:rFonts w:hint="eastAsia" w:ascii="仿宋" w:hAnsi="仿宋" w:eastAsia="仿宋" w:cs="仿宋"/>
          <w:b/>
          <w:color w:val="auto"/>
          <w:szCs w:val="28"/>
          <w:highlight w:val="none"/>
          <w:lang w:val="en-US" w:eastAsia="zh-CN"/>
        </w:rPr>
      </w:pPr>
      <w:r>
        <w:rPr>
          <w:rFonts w:hint="eastAsia" w:ascii="仿宋" w:hAnsi="仿宋" w:eastAsia="仿宋" w:cs="仿宋"/>
          <w:b/>
          <w:color w:val="auto"/>
          <w:szCs w:val="28"/>
          <w:highlight w:val="none"/>
          <w:lang w:val="en-US" w:eastAsia="zh-CN"/>
        </w:rPr>
        <w:t>7.8.1填方</w:t>
      </w:r>
    </w:p>
    <w:p w14:paraId="7DDC41D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（1）填料要求</w:t>
      </w:r>
    </w:p>
    <w:p w14:paraId="5298B89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填料土质应均匀、密实、强度高。路基填土不得使用腐殖土,生活垃圾土、淤泥,不得含杂草、树根等杂物，粒径超过10cm的土块应打碎。应选用级配较好的粗粒土为填料，且应优先选用砾类土、砂类土，且在最佳含水量时压实。</w:t>
      </w:r>
    </w:p>
    <w:p w14:paraId="7EF94E1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路基填方若为土石混和料，且石料强度大于20Mpa时，石块的最大粒不得超过压实层厚2／3,当石料强度小于15Mpa,石料最大粒径不得超过压实层厚。路基填料最小强度和填粒最大粒径应符合下表。</w:t>
      </w:r>
    </w:p>
    <w:tbl>
      <w:tblPr>
        <w:tblStyle w:val="23"/>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321"/>
        <w:gridCol w:w="1648"/>
        <w:gridCol w:w="2561"/>
        <w:gridCol w:w="2724"/>
        <w:gridCol w:w="2213"/>
      </w:tblGrid>
      <w:tr w14:paraId="5F4DE3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418" w:type="pct"/>
            <w:gridSpan w:val="2"/>
            <w:noWrap w:val="0"/>
            <w:vAlign w:val="center"/>
          </w:tcPr>
          <w:p w14:paraId="59D038A3">
            <w:pPr>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项 目 分 类</w:t>
            </w:r>
          </w:p>
        </w:tc>
        <w:tc>
          <w:tcPr>
            <w:tcW w:w="1223" w:type="pct"/>
            <w:noWrap w:val="0"/>
            <w:vAlign w:val="center"/>
          </w:tcPr>
          <w:p w14:paraId="7A2677D4">
            <w:pPr>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路面底面以下</w:t>
            </w:r>
          </w:p>
          <w:p w14:paraId="110B6394">
            <w:pPr>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深度（cm）</w:t>
            </w:r>
          </w:p>
        </w:tc>
        <w:tc>
          <w:tcPr>
            <w:tcW w:w="1301" w:type="pct"/>
            <w:noWrap w:val="0"/>
            <w:vAlign w:val="center"/>
          </w:tcPr>
          <w:p w14:paraId="05CA027C">
            <w:pPr>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填料最小强度</w:t>
            </w:r>
          </w:p>
          <w:p w14:paraId="480DA89D">
            <w:pPr>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（CBR）（％）</w:t>
            </w:r>
          </w:p>
        </w:tc>
        <w:tc>
          <w:tcPr>
            <w:tcW w:w="1057" w:type="pct"/>
            <w:noWrap w:val="0"/>
            <w:vAlign w:val="center"/>
          </w:tcPr>
          <w:p w14:paraId="03D45D49">
            <w:pPr>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填料最大</w:t>
            </w:r>
          </w:p>
          <w:p w14:paraId="01880FDA">
            <w:pPr>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粒径（cm）</w:t>
            </w:r>
          </w:p>
        </w:tc>
      </w:tr>
      <w:tr w14:paraId="7E7B85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631" w:type="pct"/>
            <w:noWrap w:val="0"/>
            <w:vAlign w:val="center"/>
          </w:tcPr>
          <w:p w14:paraId="0ACE12A8">
            <w:pPr>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填</w:t>
            </w:r>
          </w:p>
          <w:p w14:paraId="32356D68">
            <w:pPr>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方</w:t>
            </w:r>
          </w:p>
          <w:p w14:paraId="0CEA4B47">
            <w:pPr>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路</w:t>
            </w:r>
          </w:p>
          <w:p w14:paraId="720FBA20">
            <w:pPr>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基</w:t>
            </w:r>
          </w:p>
        </w:tc>
        <w:tc>
          <w:tcPr>
            <w:tcW w:w="786" w:type="pct"/>
            <w:noWrap w:val="0"/>
            <w:vAlign w:val="center"/>
          </w:tcPr>
          <w:p w14:paraId="5EEA3308">
            <w:pPr>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上路床</w:t>
            </w:r>
          </w:p>
          <w:p w14:paraId="1F4B7F15">
            <w:pPr>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下路床</w:t>
            </w:r>
          </w:p>
          <w:p w14:paraId="7EAA9280">
            <w:pPr>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上路堤</w:t>
            </w:r>
          </w:p>
          <w:p w14:paraId="7616028D">
            <w:pPr>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下路堤</w:t>
            </w:r>
          </w:p>
        </w:tc>
        <w:tc>
          <w:tcPr>
            <w:tcW w:w="1223" w:type="pct"/>
            <w:noWrap w:val="0"/>
            <w:vAlign w:val="center"/>
          </w:tcPr>
          <w:p w14:paraId="1938F601">
            <w:pPr>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0～30</w:t>
            </w:r>
          </w:p>
          <w:p w14:paraId="48A9BE16">
            <w:pPr>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30～80</w:t>
            </w:r>
          </w:p>
          <w:p w14:paraId="481AC9A7">
            <w:pPr>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80～150</w:t>
            </w:r>
          </w:p>
          <w:p w14:paraId="3BCCEBAE">
            <w:pPr>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150以下</w:t>
            </w:r>
          </w:p>
        </w:tc>
        <w:tc>
          <w:tcPr>
            <w:tcW w:w="1301" w:type="pct"/>
            <w:noWrap w:val="0"/>
            <w:vAlign w:val="center"/>
          </w:tcPr>
          <w:p w14:paraId="6349DE76">
            <w:pPr>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6</w:t>
            </w:r>
          </w:p>
          <w:p w14:paraId="34F440EE">
            <w:pPr>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4</w:t>
            </w:r>
          </w:p>
          <w:p w14:paraId="5C80B8C7">
            <w:pPr>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p w14:paraId="60CAA99D">
            <w:pPr>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1057" w:type="pct"/>
            <w:noWrap w:val="0"/>
            <w:vAlign w:val="center"/>
          </w:tcPr>
          <w:p w14:paraId="285A45A4">
            <w:pPr>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10</w:t>
            </w:r>
          </w:p>
          <w:p w14:paraId="734FB559">
            <w:pPr>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10</w:t>
            </w:r>
          </w:p>
          <w:p w14:paraId="5CC19DA8">
            <w:pPr>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15</w:t>
            </w:r>
          </w:p>
          <w:p w14:paraId="10E74D57">
            <w:pPr>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15</w:t>
            </w:r>
          </w:p>
        </w:tc>
      </w:tr>
      <w:tr w14:paraId="199BE06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418" w:type="pct"/>
            <w:gridSpan w:val="2"/>
            <w:noWrap w:val="0"/>
            <w:vAlign w:val="center"/>
          </w:tcPr>
          <w:p w14:paraId="565B3477">
            <w:pPr>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零填及路堑路床</w:t>
            </w:r>
          </w:p>
        </w:tc>
        <w:tc>
          <w:tcPr>
            <w:tcW w:w="1223" w:type="pct"/>
            <w:noWrap w:val="0"/>
            <w:vAlign w:val="center"/>
          </w:tcPr>
          <w:p w14:paraId="056928B8">
            <w:pPr>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0～30</w:t>
            </w:r>
          </w:p>
        </w:tc>
        <w:tc>
          <w:tcPr>
            <w:tcW w:w="1301" w:type="pct"/>
            <w:noWrap w:val="0"/>
            <w:vAlign w:val="center"/>
          </w:tcPr>
          <w:p w14:paraId="43EDCE5A">
            <w:pPr>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6</w:t>
            </w:r>
          </w:p>
        </w:tc>
        <w:tc>
          <w:tcPr>
            <w:tcW w:w="1057" w:type="pct"/>
            <w:noWrap w:val="0"/>
            <w:vAlign w:val="center"/>
          </w:tcPr>
          <w:p w14:paraId="4C6A59A3">
            <w:pPr>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10</w:t>
            </w:r>
          </w:p>
        </w:tc>
      </w:tr>
    </w:tbl>
    <w:p w14:paraId="44648BB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（2）填筑施工</w:t>
      </w:r>
    </w:p>
    <w:p w14:paraId="63B1BCB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填方边坡应分段放坡。采用重型振动压路机分层碾压，分层的最大松铺厚度，土方路堤不大于30cm，土石路堤不大于40cm，填筑至路床顶面最后一层的最小压实厚度，不应小于8cm。不同种类的土必须分段分层填筑,不应混杂且用不同土填筑的层数宜少。</w:t>
      </w:r>
    </w:p>
    <w:p w14:paraId="6C85272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（3）路基填方区填料要求内摩擦角≥35°，压实度≥94%（且不低于现行规范要求）。</w:t>
      </w:r>
    </w:p>
    <w:p w14:paraId="4B94E80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（4）在原状土上填筑时，应先清理表层腐殖土，按开挖台阶。</w:t>
      </w:r>
    </w:p>
    <w:p w14:paraId="7A39E67B">
      <w:pPr>
        <w:pStyle w:val="35"/>
        <w:keepNext w:val="0"/>
        <w:keepLines w:val="0"/>
        <w:pageBreakBefore w:val="0"/>
        <w:widowControl w:val="0"/>
        <w:numPr>
          <w:ilvl w:val="0"/>
          <w:numId w:val="0"/>
        </w:numPr>
        <w:kinsoku/>
        <w:wordWrap/>
        <w:overflowPunct/>
        <w:topLinePunct w:val="0"/>
        <w:autoSpaceDE/>
        <w:autoSpaceDN/>
        <w:bidi w:val="0"/>
        <w:adjustRightInd w:val="0"/>
        <w:snapToGrid w:val="0"/>
        <w:ind w:left="420" w:leftChars="0"/>
        <w:textAlignment w:val="auto"/>
        <w:outlineLvl w:val="2"/>
        <w:rPr>
          <w:rFonts w:hint="eastAsia" w:ascii="仿宋" w:hAnsi="仿宋" w:eastAsia="仿宋" w:cs="仿宋"/>
          <w:b/>
          <w:color w:val="auto"/>
          <w:szCs w:val="28"/>
          <w:highlight w:val="none"/>
          <w:lang w:val="en-US" w:eastAsia="zh-CN"/>
        </w:rPr>
      </w:pPr>
      <w:r>
        <w:rPr>
          <w:rFonts w:hint="eastAsia" w:ascii="仿宋" w:hAnsi="仿宋" w:eastAsia="仿宋" w:cs="仿宋"/>
          <w:b/>
          <w:color w:val="auto"/>
          <w:szCs w:val="28"/>
          <w:highlight w:val="none"/>
          <w:lang w:val="en-US" w:eastAsia="zh-CN"/>
        </w:rPr>
        <w:t>7.8.2路基填方段路基填筑施工</w:t>
      </w:r>
    </w:p>
    <w:p w14:paraId="0331789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路基施工技术要点详见本项目道路设计相关图说。</w:t>
      </w:r>
    </w:p>
    <w:p w14:paraId="3984BFDF">
      <w:pPr>
        <w:pStyle w:val="35"/>
        <w:keepNext w:val="0"/>
        <w:keepLines w:val="0"/>
        <w:pageBreakBefore w:val="0"/>
        <w:widowControl w:val="0"/>
        <w:numPr>
          <w:ilvl w:val="0"/>
          <w:numId w:val="0"/>
        </w:numPr>
        <w:kinsoku/>
        <w:wordWrap/>
        <w:overflowPunct/>
        <w:topLinePunct w:val="0"/>
        <w:autoSpaceDE/>
        <w:autoSpaceDN/>
        <w:bidi w:val="0"/>
        <w:adjustRightInd w:val="0"/>
        <w:snapToGrid w:val="0"/>
        <w:ind w:left="420" w:leftChars="0"/>
        <w:textAlignment w:val="auto"/>
        <w:outlineLvl w:val="2"/>
        <w:rPr>
          <w:rFonts w:hint="eastAsia" w:ascii="仿宋" w:hAnsi="仿宋" w:eastAsia="仿宋" w:cs="仿宋"/>
          <w:b/>
          <w:color w:val="auto"/>
          <w:szCs w:val="28"/>
          <w:highlight w:val="none"/>
          <w:lang w:val="en-US" w:eastAsia="zh-CN"/>
        </w:rPr>
      </w:pPr>
      <w:r>
        <w:rPr>
          <w:rFonts w:hint="eastAsia" w:ascii="仿宋" w:hAnsi="仿宋" w:eastAsia="仿宋" w:cs="仿宋"/>
          <w:b/>
          <w:color w:val="auto"/>
          <w:szCs w:val="28"/>
          <w:highlight w:val="none"/>
          <w:lang w:val="en-US" w:eastAsia="zh-CN"/>
        </w:rPr>
        <w:t>7.8.3衡重式路堤挡墙</w:t>
      </w:r>
    </w:p>
    <w:p w14:paraId="5A72A76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场地岩土岩界面线清表卸载→开挖基槽→桩基施工→挡墙模板支模→浇筑混凝土→养护→拆模。</w:t>
      </w:r>
    </w:p>
    <w:p w14:paraId="38DB576D">
      <w:pPr>
        <w:pStyle w:val="35"/>
        <w:keepNext w:val="0"/>
        <w:keepLines w:val="0"/>
        <w:pageBreakBefore w:val="0"/>
        <w:widowControl w:val="0"/>
        <w:numPr>
          <w:ilvl w:val="0"/>
          <w:numId w:val="0"/>
        </w:numPr>
        <w:kinsoku/>
        <w:wordWrap/>
        <w:overflowPunct/>
        <w:topLinePunct w:val="0"/>
        <w:autoSpaceDE/>
        <w:autoSpaceDN/>
        <w:bidi w:val="0"/>
        <w:adjustRightInd w:val="0"/>
        <w:snapToGrid w:val="0"/>
        <w:ind w:left="420" w:leftChars="0"/>
        <w:textAlignment w:val="auto"/>
        <w:outlineLvl w:val="2"/>
        <w:rPr>
          <w:rFonts w:hint="eastAsia" w:ascii="仿宋" w:hAnsi="仿宋" w:eastAsia="仿宋" w:cs="仿宋"/>
          <w:b/>
          <w:color w:val="auto"/>
          <w:szCs w:val="28"/>
          <w:highlight w:val="none"/>
          <w:lang w:val="en-US" w:eastAsia="zh-CN"/>
        </w:rPr>
      </w:pPr>
      <w:r>
        <w:rPr>
          <w:rFonts w:hint="eastAsia" w:ascii="仿宋" w:hAnsi="仿宋" w:eastAsia="仿宋" w:cs="仿宋"/>
          <w:b/>
          <w:color w:val="auto"/>
          <w:szCs w:val="28"/>
          <w:highlight w:val="none"/>
          <w:lang w:val="en-US" w:eastAsia="zh-CN"/>
        </w:rPr>
        <w:t>7.8.4花格植草护坡</w:t>
      </w:r>
    </w:p>
    <w:p w14:paraId="067572C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（1）整个边坡施工过程中，应有计划分步骤、按秩序进行。开挖时应采用逆作法，由上到下，边开挖边施工，并分段进行。</w:t>
      </w:r>
    </w:p>
    <w:p w14:paraId="298785B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（2）花格植草护坡施工顺序应为：整平坡面—花格施工—培土—喷播植草—覆膜养护。</w:t>
      </w:r>
    </w:p>
    <w:p w14:paraId="0D49691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（3）施工前应清理坡面浮土、碎石，填补坑凹，骨架内草皮应与坡面和骨架密贴，防止地表水沿缝隙渗入,损坏防护工程。</w:t>
      </w:r>
    </w:p>
    <w:p w14:paraId="6A84DF4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（4）花格中植草（植物）具体种类由总图或其它先关专业具体确定。</w:t>
      </w:r>
    </w:p>
    <w:p w14:paraId="3BD9F301">
      <w:pPr>
        <w:pStyle w:val="35"/>
        <w:keepNext w:val="0"/>
        <w:keepLines w:val="0"/>
        <w:pageBreakBefore w:val="0"/>
        <w:widowControl w:val="0"/>
        <w:numPr>
          <w:ilvl w:val="0"/>
          <w:numId w:val="0"/>
        </w:numPr>
        <w:kinsoku/>
        <w:wordWrap/>
        <w:overflowPunct/>
        <w:topLinePunct w:val="0"/>
        <w:autoSpaceDE/>
        <w:autoSpaceDN/>
        <w:bidi w:val="0"/>
        <w:adjustRightInd w:val="0"/>
        <w:snapToGrid w:val="0"/>
        <w:ind w:left="420" w:leftChars="0"/>
        <w:textAlignment w:val="auto"/>
        <w:outlineLvl w:val="2"/>
        <w:rPr>
          <w:rFonts w:hint="eastAsia" w:ascii="仿宋" w:hAnsi="仿宋" w:eastAsia="仿宋" w:cs="仿宋"/>
          <w:b/>
          <w:color w:val="auto"/>
          <w:szCs w:val="28"/>
          <w:highlight w:val="none"/>
          <w:lang w:val="en-US" w:eastAsia="zh-CN"/>
        </w:rPr>
      </w:pPr>
      <w:bookmarkStart w:id="79" w:name="_Toc190696661"/>
      <w:r>
        <w:rPr>
          <w:rFonts w:hint="eastAsia" w:ascii="仿宋" w:hAnsi="仿宋" w:eastAsia="仿宋" w:cs="仿宋"/>
          <w:b/>
          <w:color w:val="auto"/>
          <w:szCs w:val="28"/>
          <w:highlight w:val="none"/>
          <w:lang w:val="en-US" w:eastAsia="zh-CN"/>
        </w:rPr>
        <w:t>7.8.5施工安全措施</w:t>
      </w:r>
      <w:bookmarkEnd w:id="79"/>
    </w:p>
    <w:p w14:paraId="47A164E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（1）由于本工程边坡较高，施工必须加强安全措施。高边坡施工需搭设脚手架。</w:t>
      </w:r>
    </w:p>
    <w:p w14:paraId="069332A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（2）脚手架立杆基础必须坚实，地基和基础要有足够的承载力，以防止不均匀或过大的沉降，建议对脚手架基础进行具体的设计。</w:t>
      </w:r>
    </w:p>
    <w:p w14:paraId="7942175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（3）脚手架和岩体之间，必须按计算设置足够数量、分布均匀的连墙件，约束脚手架产生横向变形，以防止脚手架横向失稳或倾覆，并可靠的传递风荷载。</w:t>
      </w:r>
    </w:p>
    <w:p w14:paraId="7861867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（4）脚手架的底部立杆采用不同长度的钢管参差布置，使钢管立杆的对接接头交错布置，高度方向相互错开500mm以上，且要求相邻接头不应在同步同跨内，以保证脚手架的整体性。</w:t>
      </w:r>
    </w:p>
    <w:p w14:paraId="4C8B18B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（5）脚手架外侧需挂安全网。</w:t>
      </w:r>
    </w:p>
    <w:p w14:paraId="23E9CAB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（6）加强对已开挖边坡的监测和观察。并及时封水。已开挖边坡坡顶必须设置安全防护措施。</w:t>
      </w:r>
    </w:p>
    <w:p w14:paraId="2504C8E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（7）具体及未尽事宜按照施工单位通过评审的专项施工方案及现行相关规程、规范要求为准。</w:t>
      </w:r>
    </w:p>
    <w:p w14:paraId="27EEF10E">
      <w:pPr>
        <w:pStyle w:val="35"/>
        <w:numPr>
          <w:ilvl w:val="0"/>
          <w:numId w:val="0"/>
        </w:numPr>
        <w:adjustRightInd w:val="0"/>
        <w:snapToGrid w:val="0"/>
        <w:ind w:left="420" w:leftChars="0"/>
        <w:outlineLvl w:val="1"/>
        <w:rPr>
          <w:rFonts w:hint="eastAsia" w:ascii="仿宋" w:hAnsi="仿宋" w:eastAsia="仿宋" w:cs="仿宋"/>
          <w:b/>
          <w:color w:val="auto"/>
          <w:szCs w:val="28"/>
          <w:highlight w:val="none"/>
          <w:lang w:val="en-US" w:eastAsia="zh-CN"/>
        </w:rPr>
      </w:pPr>
      <w:r>
        <w:rPr>
          <w:rFonts w:hint="eastAsia" w:ascii="仿宋" w:hAnsi="仿宋" w:eastAsia="仿宋" w:cs="仿宋"/>
          <w:b/>
          <w:color w:val="auto"/>
          <w:szCs w:val="28"/>
          <w:highlight w:val="none"/>
          <w:lang w:val="en-US" w:eastAsia="zh-CN"/>
        </w:rPr>
        <w:t>7.9材料</w:t>
      </w:r>
    </w:p>
    <w:p w14:paraId="6D38D9DA">
      <w:pPr>
        <w:pStyle w:val="35"/>
        <w:keepNext w:val="0"/>
        <w:keepLines w:val="0"/>
        <w:pageBreakBefore w:val="0"/>
        <w:widowControl w:val="0"/>
        <w:numPr>
          <w:ilvl w:val="0"/>
          <w:numId w:val="0"/>
        </w:numPr>
        <w:kinsoku/>
        <w:wordWrap/>
        <w:overflowPunct/>
        <w:topLinePunct w:val="0"/>
        <w:autoSpaceDE/>
        <w:autoSpaceDN/>
        <w:bidi w:val="0"/>
        <w:adjustRightInd w:val="0"/>
        <w:snapToGrid w:val="0"/>
        <w:ind w:left="420" w:leftChars="0"/>
        <w:textAlignment w:val="auto"/>
        <w:outlineLvl w:val="2"/>
        <w:rPr>
          <w:rFonts w:hint="eastAsia" w:ascii="仿宋" w:hAnsi="仿宋" w:eastAsia="仿宋" w:cs="仿宋"/>
          <w:b/>
          <w:color w:val="auto"/>
          <w:szCs w:val="28"/>
          <w:highlight w:val="none"/>
          <w:lang w:val="en-US" w:eastAsia="zh-CN"/>
        </w:rPr>
      </w:pPr>
      <w:r>
        <w:rPr>
          <w:rFonts w:hint="eastAsia" w:ascii="仿宋" w:hAnsi="仿宋" w:eastAsia="仿宋" w:cs="仿宋"/>
          <w:b/>
          <w:color w:val="auto"/>
          <w:szCs w:val="28"/>
          <w:highlight w:val="none"/>
          <w:lang w:val="en-US" w:eastAsia="zh-CN"/>
        </w:rPr>
        <w:t>7.9.1 混凝土</w:t>
      </w:r>
    </w:p>
    <w:p w14:paraId="172214F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混凝土中掺入膨胀剂，掺入量为水泥用量的8%。配制的骨料应选择良好的级配，</w:t>
      </w:r>
    </w:p>
    <w:p w14:paraId="095EBC0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粗骨料粒径不应大于40mm，且不超过最小断面厚度的1/4；含泥量按照重量计应不超过1%；砂子的含泥量及云母含量按重量计应不超过3%。</w:t>
      </w:r>
    </w:p>
    <w:p w14:paraId="283347F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en-US" w:eastAsia="zh-CN"/>
        </w:rPr>
        <w:t>混凝土掺用外加剂时，混凝土配合比设计要经试验确定，外加剂的掺入量应符合现行国家标准的要求，禁止使用氯盐。</w:t>
      </w:r>
    </w:p>
    <w:p w14:paraId="36350694">
      <w:pPr>
        <w:pStyle w:val="35"/>
        <w:keepNext w:val="0"/>
        <w:keepLines w:val="0"/>
        <w:pageBreakBefore w:val="0"/>
        <w:widowControl w:val="0"/>
        <w:numPr>
          <w:ilvl w:val="0"/>
          <w:numId w:val="0"/>
        </w:numPr>
        <w:kinsoku/>
        <w:wordWrap/>
        <w:overflowPunct/>
        <w:topLinePunct w:val="0"/>
        <w:autoSpaceDE/>
        <w:autoSpaceDN/>
        <w:bidi w:val="0"/>
        <w:adjustRightInd w:val="0"/>
        <w:snapToGrid w:val="0"/>
        <w:ind w:left="420" w:leftChars="0"/>
        <w:textAlignment w:val="auto"/>
        <w:outlineLvl w:val="2"/>
        <w:rPr>
          <w:rFonts w:hint="eastAsia" w:ascii="仿宋" w:hAnsi="仿宋" w:eastAsia="仿宋" w:cs="仿宋"/>
          <w:b/>
          <w:color w:val="auto"/>
          <w:szCs w:val="28"/>
          <w:highlight w:val="none"/>
          <w:lang w:val="en-US" w:eastAsia="zh-CN"/>
        </w:rPr>
      </w:pPr>
      <w:r>
        <w:rPr>
          <w:rFonts w:hint="eastAsia" w:ascii="仿宋" w:hAnsi="仿宋" w:eastAsia="仿宋" w:cs="仿宋"/>
          <w:b/>
          <w:color w:val="auto"/>
          <w:szCs w:val="28"/>
          <w:highlight w:val="none"/>
          <w:lang w:val="en-US" w:eastAsia="zh-CN"/>
        </w:rPr>
        <w:t>7.9.2 水泥</w:t>
      </w:r>
    </w:p>
    <w:p w14:paraId="08420D8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水泥强度不应低于</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val="zh-CN" w:eastAsia="zh-CN"/>
        </w:rPr>
        <w:t>2.5MPa；砂的含泥量不得大于3%，砂中云母、有机物、硫化物和硫酸盐等有害物质的含量按重量计不得大于1%；灰砂比宜为0.8～1.5，水灰比宜为0.38～0.5。</w:t>
      </w:r>
    </w:p>
    <w:p w14:paraId="6905DEB8">
      <w:pPr>
        <w:pStyle w:val="35"/>
        <w:keepNext w:val="0"/>
        <w:keepLines w:val="0"/>
        <w:pageBreakBefore w:val="0"/>
        <w:widowControl w:val="0"/>
        <w:numPr>
          <w:ilvl w:val="0"/>
          <w:numId w:val="0"/>
        </w:numPr>
        <w:kinsoku/>
        <w:wordWrap/>
        <w:overflowPunct/>
        <w:topLinePunct w:val="0"/>
        <w:autoSpaceDE/>
        <w:autoSpaceDN/>
        <w:bidi w:val="0"/>
        <w:adjustRightInd w:val="0"/>
        <w:snapToGrid w:val="0"/>
        <w:ind w:left="420" w:leftChars="0"/>
        <w:textAlignment w:val="auto"/>
        <w:outlineLvl w:val="2"/>
        <w:rPr>
          <w:rFonts w:hint="eastAsia" w:ascii="仿宋" w:hAnsi="仿宋" w:eastAsia="仿宋" w:cs="仿宋"/>
          <w:b/>
          <w:color w:val="auto"/>
          <w:szCs w:val="28"/>
          <w:highlight w:val="none"/>
          <w:lang w:val="zh-CN" w:eastAsia="zh-CN"/>
        </w:rPr>
      </w:pPr>
      <w:r>
        <w:rPr>
          <w:rFonts w:hint="eastAsia" w:ascii="仿宋" w:hAnsi="仿宋" w:eastAsia="仿宋" w:cs="仿宋"/>
          <w:b/>
          <w:color w:val="auto"/>
          <w:szCs w:val="28"/>
          <w:highlight w:val="none"/>
          <w:lang w:val="en-US" w:eastAsia="zh-CN"/>
        </w:rPr>
        <w:t>7.9</w:t>
      </w:r>
      <w:r>
        <w:rPr>
          <w:rFonts w:hint="eastAsia" w:ascii="仿宋" w:hAnsi="仿宋" w:eastAsia="仿宋" w:cs="仿宋"/>
          <w:b/>
          <w:color w:val="auto"/>
          <w:szCs w:val="28"/>
          <w:highlight w:val="none"/>
          <w:lang w:val="zh-CN" w:eastAsia="zh-CN"/>
        </w:rPr>
        <w:t>.</w:t>
      </w:r>
      <w:r>
        <w:rPr>
          <w:rFonts w:hint="eastAsia" w:ascii="仿宋" w:hAnsi="仿宋" w:eastAsia="仿宋" w:cs="仿宋"/>
          <w:b/>
          <w:color w:val="auto"/>
          <w:szCs w:val="28"/>
          <w:highlight w:val="none"/>
          <w:lang w:val="en-US" w:eastAsia="zh-CN"/>
        </w:rPr>
        <w:t>3</w:t>
      </w:r>
      <w:r>
        <w:rPr>
          <w:rFonts w:hint="eastAsia" w:ascii="仿宋" w:hAnsi="仿宋" w:eastAsia="仿宋" w:cs="仿宋"/>
          <w:b/>
          <w:color w:val="auto"/>
          <w:szCs w:val="28"/>
          <w:highlight w:val="none"/>
          <w:lang w:val="zh-CN" w:eastAsia="zh-CN"/>
        </w:rPr>
        <w:t xml:space="preserve"> 水</w:t>
      </w:r>
    </w:p>
    <w:p w14:paraId="5586441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拌合水宜为饮用水，水中硫酸盐含量不超过0.1％，氯盐含量不超过0.5％，且不得含糖类、悬浮物和有机质。</w:t>
      </w:r>
    </w:p>
    <w:p w14:paraId="3FC01E2E">
      <w:pPr>
        <w:pStyle w:val="35"/>
        <w:keepNext w:val="0"/>
        <w:keepLines w:val="0"/>
        <w:pageBreakBefore w:val="0"/>
        <w:widowControl w:val="0"/>
        <w:numPr>
          <w:ilvl w:val="0"/>
          <w:numId w:val="0"/>
        </w:numPr>
        <w:kinsoku/>
        <w:wordWrap/>
        <w:overflowPunct/>
        <w:topLinePunct w:val="0"/>
        <w:autoSpaceDE/>
        <w:autoSpaceDN/>
        <w:bidi w:val="0"/>
        <w:adjustRightInd w:val="0"/>
        <w:snapToGrid w:val="0"/>
        <w:ind w:left="420" w:leftChars="0"/>
        <w:textAlignment w:val="auto"/>
        <w:outlineLvl w:val="2"/>
        <w:rPr>
          <w:rFonts w:hint="default" w:ascii="仿宋" w:hAnsi="仿宋" w:eastAsia="仿宋" w:cs="仿宋"/>
          <w:b/>
          <w:color w:val="auto"/>
          <w:szCs w:val="28"/>
          <w:highlight w:val="none"/>
          <w:lang w:val="en-US" w:eastAsia="zh-CN"/>
        </w:rPr>
      </w:pPr>
      <w:r>
        <w:rPr>
          <w:rFonts w:hint="eastAsia" w:ascii="仿宋" w:hAnsi="仿宋" w:eastAsia="仿宋" w:cs="仿宋"/>
          <w:b/>
          <w:color w:val="auto"/>
          <w:szCs w:val="28"/>
          <w:highlight w:val="none"/>
          <w:lang w:val="en-US" w:eastAsia="zh-CN"/>
        </w:rPr>
        <w:t>7.9.4 砂</w:t>
      </w:r>
    </w:p>
    <w:p w14:paraId="11D138D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 xml:space="preserve"> 注浆料宜使用中细砂，粒径不应大于2.5mm，含泥量不应大于3％（以重量计），砂中有害物质（如云母、轻物质、有机质、硫化物等）含量应低于1～2％。</w:t>
      </w:r>
    </w:p>
    <w:p w14:paraId="5716B6B6">
      <w:pPr>
        <w:pStyle w:val="35"/>
        <w:keepNext w:val="0"/>
        <w:keepLines w:val="0"/>
        <w:pageBreakBefore w:val="0"/>
        <w:widowControl w:val="0"/>
        <w:numPr>
          <w:ilvl w:val="0"/>
          <w:numId w:val="0"/>
        </w:numPr>
        <w:kinsoku/>
        <w:wordWrap/>
        <w:overflowPunct/>
        <w:topLinePunct w:val="0"/>
        <w:autoSpaceDE/>
        <w:autoSpaceDN/>
        <w:bidi w:val="0"/>
        <w:adjustRightInd w:val="0"/>
        <w:snapToGrid w:val="0"/>
        <w:ind w:left="420" w:leftChars="0"/>
        <w:textAlignment w:val="auto"/>
        <w:outlineLvl w:val="2"/>
        <w:rPr>
          <w:rFonts w:hint="eastAsia" w:ascii="仿宋" w:hAnsi="仿宋" w:eastAsia="仿宋" w:cs="仿宋"/>
          <w:b/>
          <w:color w:val="auto"/>
          <w:szCs w:val="28"/>
          <w:highlight w:val="none"/>
          <w:lang w:val="en-US" w:eastAsia="zh-CN"/>
        </w:rPr>
      </w:pPr>
      <w:r>
        <w:rPr>
          <w:rFonts w:hint="eastAsia" w:ascii="仿宋" w:hAnsi="仿宋" w:eastAsia="仿宋" w:cs="仿宋"/>
          <w:b/>
          <w:color w:val="auto"/>
          <w:szCs w:val="28"/>
          <w:highlight w:val="none"/>
          <w:lang w:val="en-US" w:eastAsia="zh-CN"/>
        </w:rPr>
        <w:t>7.9.5 钢筋</w:t>
      </w:r>
    </w:p>
    <w:p w14:paraId="08B5649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采用HRB400级钢筋</w:t>
      </w:r>
      <w:r>
        <w:rPr>
          <w:rFonts w:hint="eastAsia" w:ascii="仿宋" w:hAnsi="仿宋" w:eastAsia="仿宋" w:cs="仿宋"/>
          <w:color w:val="auto"/>
          <w:sz w:val="28"/>
          <w:szCs w:val="28"/>
          <w:highlight w:val="none"/>
          <w:lang w:val="en-US" w:eastAsia="zh-CN"/>
        </w:rPr>
        <w:t>及</w:t>
      </w:r>
      <w:r>
        <w:rPr>
          <w:rFonts w:hint="eastAsia" w:ascii="仿宋" w:hAnsi="仿宋" w:eastAsia="仿宋" w:cs="仿宋"/>
          <w:color w:val="auto"/>
          <w:sz w:val="28"/>
          <w:szCs w:val="28"/>
          <w:highlight w:val="none"/>
          <w:lang w:val="zh-CN" w:eastAsia="zh-CN"/>
        </w:rPr>
        <w:t>HPB300级钢筋。</w:t>
      </w:r>
    </w:p>
    <w:p w14:paraId="49050371">
      <w:pPr>
        <w:pStyle w:val="35"/>
        <w:numPr>
          <w:ilvl w:val="0"/>
          <w:numId w:val="0"/>
        </w:numPr>
        <w:adjustRightInd w:val="0"/>
        <w:snapToGrid w:val="0"/>
        <w:ind w:left="420" w:leftChars="0"/>
        <w:outlineLvl w:val="1"/>
        <w:rPr>
          <w:rFonts w:hint="eastAsia" w:ascii="仿宋" w:hAnsi="仿宋" w:eastAsia="仿宋" w:cs="仿宋"/>
          <w:b/>
          <w:color w:val="auto"/>
          <w:szCs w:val="28"/>
          <w:highlight w:val="none"/>
          <w:lang w:val="en-US" w:eastAsia="zh-CN"/>
        </w:rPr>
      </w:pPr>
      <w:r>
        <w:rPr>
          <w:rFonts w:hint="eastAsia" w:ascii="仿宋" w:hAnsi="仿宋" w:eastAsia="仿宋" w:cs="仿宋"/>
          <w:b/>
          <w:color w:val="auto"/>
          <w:szCs w:val="28"/>
          <w:highlight w:val="none"/>
          <w:lang w:val="en-US" w:eastAsia="zh-CN"/>
        </w:rPr>
        <w:t>7.10施工注意事项</w:t>
      </w:r>
    </w:p>
    <w:p w14:paraId="181A8C7B">
      <w:pPr>
        <w:pStyle w:val="35"/>
        <w:keepNext w:val="0"/>
        <w:keepLines w:val="0"/>
        <w:pageBreakBefore w:val="0"/>
        <w:widowControl w:val="0"/>
        <w:numPr>
          <w:ilvl w:val="0"/>
          <w:numId w:val="0"/>
        </w:numPr>
        <w:kinsoku/>
        <w:wordWrap/>
        <w:overflowPunct/>
        <w:topLinePunct w:val="0"/>
        <w:autoSpaceDE/>
        <w:autoSpaceDN/>
        <w:bidi w:val="0"/>
        <w:adjustRightInd w:val="0"/>
        <w:snapToGrid w:val="0"/>
        <w:ind w:left="420" w:leftChars="0"/>
        <w:textAlignment w:val="auto"/>
        <w:outlineLvl w:val="2"/>
        <w:rPr>
          <w:rFonts w:hint="default" w:ascii="仿宋" w:hAnsi="仿宋" w:eastAsia="仿宋" w:cs="仿宋"/>
          <w:b/>
          <w:color w:val="auto"/>
          <w:szCs w:val="28"/>
          <w:highlight w:val="none"/>
          <w:lang w:val="en-US" w:eastAsia="zh-CN"/>
        </w:rPr>
      </w:pPr>
      <w:r>
        <w:rPr>
          <w:rFonts w:hint="eastAsia" w:ascii="仿宋" w:hAnsi="仿宋" w:eastAsia="仿宋" w:cs="仿宋"/>
          <w:b/>
          <w:color w:val="auto"/>
          <w:szCs w:val="28"/>
          <w:highlight w:val="none"/>
          <w:lang w:val="en-US" w:eastAsia="zh-CN"/>
        </w:rPr>
        <w:t>7.10.1 边坡开挖</w:t>
      </w:r>
    </w:p>
    <w:p w14:paraId="79F1AC1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val="zh-CN" w:eastAsia="zh-CN"/>
        </w:rPr>
        <w:t>） 坡顶塌滑区邻近地表应采用封闭、植被及截、排水等安全防护措施。</w:t>
      </w:r>
    </w:p>
    <w:p w14:paraId="671C698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val="zh-CN" w:eastAsia="zh-CN"/>
        </w:rPr>
        <w:t>）坡顶岩体存在裂隙处，应采用灌浆封闭措施；坡面岩体危岩、掉块应及时清除。</w:t>
      </w:r>
    </w:p>
    <w:p w14:paraId="15E21A6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val="zh-CN" w:eastAsia="zh-CN"/>
        </w:rPr>
        <w:t>）未防止坡顶岩土体裸露风化，应采取植草等措施保护。</w:t>
      </w:r>
    </w:p>
    <w:p w14:paraId="2EDE3DF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val="zh-CN" w:eastAsia="zh-CN"/>
        </w:rPr>
        <w:t>）坡顶施作截水沟，接入附近市政管道，以防止坡顶水流入坡面。</w:t>
      </w:r>
    </w:p>
    <w:p w14:paraId="422A997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lang w:val="zh-CN" w:eastAsia="zh-CN"/>
        </w:rPr>
        <w:t>）坡顶1m处应设置安全防护措施，保护人群安全。</w:t>
      </w:r>
    </w:p>
    <w:p w14:paraId="6127822D">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b/>
          <w:bCs/>
          <w:color w:val="auto"/>
          <w:sz w:val="28"/>
          <w:szCs w:val="28"/>
          <w:highlight w:val="none"/>
          <w:lang w:val="zh-CN" w:eastAsia="zh-CN"/>
        </w:rPr>
      </w:pPr>
      <w:r>
        <w:rPr>
          <w:rFonts w:hint="eastAsia" w:ascii="仿宋" w:hAnsi="仿宋" w:eastAsia="仿宋" w:cs="仿宋"/>
          <w:b/>
          <w:bCs/>
          <w:color w:val="auto"/>
          <w:sz w:val="28"/>
          <w:szCs w:val="28"/>
          <w:highlight w:val="none"/>
          <w:lang w:val="zh-CN" w:eastAsia="zh-CN"/>
        </w:rPr>
        <w:t>（</w:t>
      </w:r>
      <w:r>
        <w:rPr>
          <w:rFonts w:hint="eastAsia" w:ascii="仿宋" w:hAnsi="仿宋" w:eastAsia="仿宋" w:cs="仿宋"/>
          <w:b/>
          <w:bCs/>
          <w:color w:val="auto"/>
          <w:sz w:val="28"/>
          <w:szCs w:val="28"/>
          <w:highlight w:val="none"/>
          <w:lang w:val="en-US" w:eastAsia="zh-CN"/>
        </w:rPr>
        <w:t>6</w:t>
      </w:r>
      <w:r>
        <w:rPr>
          <w:rFonts w:hint="eastAsia" w:ascii="仿宋" w:hAnsi="仿宋" w:eastAsia="仿宋" w:cs="仿宋"/>
          <w:b/>
          <w:bCs/>
          <w:color w:val="auto"/>
          <w:sz w:val="28"/>
          <w:szCs w:val="28"/>
          <w:highlight w:val="none"/>
          <w:lang w:val="zh-CN" w:eastAsia="zh-CN"/>
        </w:rPr>
        <w:t>）本工程暂无地质勘查报告，</w:t>
      </w:r>
      <w:r>
        <w:rPr>
          <w:rFonts w:hint="eastAsia" w:ascii="仿宋" w:hAnsi="仿宋" w:eastAsia="仿宋" w:cs="仿宋"/>
          <w:b/>
          <w:bCs/>
          <w:color w:val="auto"/>
          <w:sz w:val="28"/>
          <w:szCs w:val="28"/>
          <w:highlight w:val="none"/>
          <w:lang w:val="en-US" w:eastAsia="zh-CN"/>
        </w:rPr>
        <w:t>施工前应对地质进行探明，并委托具有相应资质的单位出具相关地质报告，并反馈设计进行复核，以便复核、调整设计。</w:t>
      </w:r>
    </w:p>
    <w:p w14:paraId="0508335C">
      <w:pPr>
        <w:pStyle w:val="35"/>
        <w:keepNext w:val="0"/>
        <w:keepLines w:val="0"/>
        <w:pageBreakBefore w:val="0"/>
        <w:widowControl w:val="0"/>
        <w:numPr>
          <w:ilvl w:val="0"/>
          <w:numId w:val="0"/>
        </w:numPr>
        <w:kinsoku/>
        <w:wordWrap/>
        <w:overflowPunct/>
        <w:topLinePunct w:val="0"/>
        <w:autoSpaceDE/>
        <w:autoSpaceDN/>
        <w:bidi w:val="0"/>
        <w:adjustRightInd w:val="0"/>
        <w:snapToGrid w:val="0"/>
        <w:ind w:left="420" w:leftChars="0"/>
        <w:textAlignment w:val="auto"/>
        <w:outlineLvl w:val="2"/>
        <w:rPr>
          <w:rFonts w:hint="eastAsia" w:ascii="仿宋" w:hAnsi="仿宋" w:eastAsia="仿宋" w:cs="仿宋"/>
          <w:b/>
          <w:color w:val="auto"/>
          <w:szCs w:val="28"/>
          <w:highlight w:val="none"/>
          <w:lang w:val="zh-CN" w:eastAsia="zh-CN"/>
        </w:rPr>
      </w:pPr>
      <w:r>
        <w:rPr>
          <w:rFonts w:hint="eastAsia" w:ascii="仿宋" w:hAnsi="仿宋" w:eastAsia="仿宋" w:cs="仿宋"/>
          <w:b/>
          <w:color w:val="auto"/>
          <w:szCs w:val="28"/>
          <w:highlight w:val="none"/>
          <w:lang w:val="en-US" w:eastAsia="zh-CN"/>
        </w:rPr>
        <w:t>7.10.2边坡填方</w:t>
      </w:r>
    </w:p>
    <w:p w14:paraId="2C875DB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val="zh-CN" w:eastAsia="zh-CN"/>
        </w:rPr>
        <w:t>）填方边坡应优先选用级配良好的砾类土、砂类土等粗粒土作为填料，填料最大粒径应小于150mm，细粒土作填料时，土的含水量应接近最优含水量。</w:t>
      </w:r>
    </w:p>
    <w:p w14:paraId="2075198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val="zh-CN" w:eastAsia="zh-CN"/>
        </w:rPr>
        <w:t>）边坡应分层铺筑，每层厚度300mm(建议值），均匀压实，压实度不小于0.94。</w:t>
      </w:r>
    </w:p>
    <w:p w14:paraId="5F08F4E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val="zh-CN" w:eastAsia="zh-CN"/>
        </w:rPr>
        <w:t>） 因为地表覆盖层均较薄，为确保填方边坡稳定性，应清除地表草皮、腐殖土及其他土层，至强风化岩层，然后按填筑要求回填土石方。</w:t>
      </w:r>
    </w:p>
    <w:p w14:paraId="36741F5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zh-CN" w:eastAsia="zh-CN"/>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val="zh-CN" w:eastAsia="zh-CN"/>
        </w:rPr>
        <w:t>）原地面横坡陡于1：6时应挖台阶，台阶宽度不小于2m（局部采取大台阶开挖宽度为</w:t>
      </w:r>
      <w:r>
        <w:rPr>
          <w:rFonts w:hint="eastAsia" w:ascii="仿宋" w:hAnsi="仿宋" w:eastAsia="仿宋" w:cs="仿宋"/>
          <w:color w:val="auto"/>
          <w:sz w:val="28"/>
          <w:szCs w:val="28"/>
          <w:highlight w:val="none"/>
          <w:lang w:val="en-US" w:eastAsia="zh-CN"/>
        </w:rPr>
        <w:t>3m</w:t>
      </w:r>
      <w:r>
        <w:rPr>
          <w:rFonts w:hint="eastAsia" w:ascii="仿宋" w:hAnsi="仿宋" w:eastAsia="仿宋" w:cs="仿宋"/>
          <w:color w:val="auto"/>
          <w:sz w:val="28"/>
          <w:szCs w:val="28"/>
          <w:highlight w:val="none"/>
          <w:lang w:val="zh-CN" w:eastAsia="zh-CN"/>
        </w:rPr>
        <w:t>）</w:t>
      </w:r>
      <w:r>
        <w:rPr>
          <w:rFonts w:hint="eastAsia" w:ascii="仿宋" w:hAnsi="仿宋" w:eastAsia="仿宋" w:cs="仿宋"/>
          <w:color w:val="auto"/>
          <w:sz w:val="28"/>
          <w:szCs w:val="28"/>
          <w:highlight w:val="none"/>
          <w:lang w:val="en-US" w:eastAsia="zh-CN"/>
        </w:rPr>
        <w:t>。</w:t>
      </w:r>
    </w:p>
    <w:p w14:paraId="4B47D771">
      <w:pPr>
        <w:pStyle w:val="35"/>
        <w:keepNext w:val="0"/>
        <w:keepLines w:val="0"/>
        <w:pageBreakBefore w:val="0"/>
        <w:widowControl w:val="0"/>
        <w:numPr>
          <w:ilvl w:val="0"/>
          <w:numId w:val="0"/>
        </w:numPr>
        <w:kinsoku/>
        <w:wordWrap/>
        <w:overflowPunct/>
        <w:topLinePunct w:val="0"/>
        <w:autoSpaceDE/>
        <w:autoSpaceDN/>
        <w:bidi w:val="0"/>
        <w:adjustRightInd w:val="0"/>
        <w:snapToGrid w:val="0"/>
        <w:ind w:left="420" w:leftChars="0"/>
        <w:textAlignment w:val="auto"/>
        <w:outlineLvl w:val="2"/>
        <w:rPr>
          <w:rFonts w:hint="default" w:ascii="仿宋" w:hAnsi="仿宋" w:eastAsia="仿宋" w:cs="仿宋"/>
          <w:b/>
          <w:color w:val="auto"/>
          <w:szCs w:val="28"/>
          <w:highlight w:val="none"/>
          <w:lang w:val="en-US" w:eastAsia="zh-CN"/>
        </w:rPr>
      </w:pPr>
      <w:r>
        <w:rPr>
          <w:rFonts w:hint="eastAsia" w:ascii="仿宋" w:hAnsi="仿宋" w:eastAsia="仿宋" w:cs="仿宋"/>
          <w:b/>
          <w:color w:val="auto"/>
          <w:szCs w:val="28"/>
          <w:highlight w:val="none"/>
          <w:lang w:val="en-US" w:eastAsia="zh-CN"/>
        </w:rPr>
        <w:t>7.10.3基坑开挖</w:t>
      </w:r>
    </w:p>
    <w:p w14:paraId="2DD238E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（1）开挖时，挖土机不得碰撞或损害现有及已完成构（建）筑物，注意对已完成工程的保护工作。</w:t>
      </w:r>
    </w:p>
    <w:p w14:paraId="586C5B0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（2）基坑周边严禁堆放施工材料、设施或车辆。</w:t>
      </w:r>
    </w:p>
    <w:p w14:paraId="7A61D3A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（3）基坑施工期间，应加强第三方监测，监测数据存在异常时，应立即停止施工，做好施工应急措施，及时通知业主单位和设计单位到现场商讨。</w:t>
      </w:r>
    </w:p>
    <w:p w14:paraId="4F723859">
      <w:pPr>
        <w:pStyle w:val="35"/>
        <w:keepNext w:val="0"/>
        <w:keepLines w:val="0"/>
        <w:pageBreakBefore w:val="0"/>
        <w:widowControl w:val="0"/>
        <w:numPr>
          <w:ilvl w:val="0"/>
          <w:numId w:val="0"/>
        </w:numPr>
        <w:kinsoku/>
        <w:wordWrap/>
        <w:overflowPunct/>
        <w:topLinePunct w:val="0"/>
        <w:autoSpaceDE/>
        <w:autoSpaceDN/>
        <w:bidi w:val="0"/>
        <w:adjustRightInd w:val="0"/>
        <w:snapToGrid w:val="0"/>
        <w:ind w:left="420" w:leftChars="0"/>
        <w:textAlignment w:val="auto"/>
        <w:outlineLvl w:val="2"/>
        <w:rPr>
          <w:rFonts w:hint="eastAsia" w:ascii="仿宋" w:hAnsi="仿宋" w:eastAsia="仿宋" w:cs="仿宋"/>
          <w:b/>
          <w:color w:val="auto"/>
          <w:szCs w:val="28"/>
          <w:highlight w:val="none"/>
          <w:lang w:val="en-US" w:eastAsia="zh-CN"/>
        </w:rPr>
      </w:pPr>
      <w:r>
        <w:rPr>
          <w:rFonts w:hint="eastAsia" w:ascii="仿宋" w:hAnsi="仿宋" w:eastAsia="仿宋" w:cs="仿宋"/>
          <w:b/>
          <w:color w:val="auto"/>
          <w:szCs w:val="28"/>
          <w:highlight w:val="none"/>
          <w:lang w:val="en-US" w:eastAsia="zh-CN"/>
        </w:rPr>
        <w:t>7.10.4 其他</w:t>
      </w:r>
    </w:p>
    <w:p w14:paraId="5C6E1F4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val="zh-CN" w:eastAsia="zh-CN"/>
        </w:rPr>
        <w:t>施工单位在组织实施施工前，应仔细调查边坡开挖范围内管线埋设情况，以防止在施工过程中，侵害到地下管线或附近结构物基础。边坡坡顶临时和永久荷载均不应超过坡顶荷载设计标准。</w:t>
      </w:r>
    </w:p>
    <w:p w14:paraId="7982437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w:t>
      </w:r>
      <w:r>
        <w:rPr>
          <w:rFonts w:hint="eastAsia" w:ascii="仿宋" w:hAnsi="仿宋" w:eastAsia="仿宋" w:cs="仿宋"/>
          <w:b/>
          <w:bCs/>
          <w:color w:val="auto"/>
          <w:sz w:val="28"/>
          <w:szCs w:val="28"/>
          <w:highlight w:val="none"/>
          <w:lang w:val="en-US" w:eastAsia="zh-CN"/>
        </w:rPr>
        <w:t>应动态设计，信息法施工</w:t>
      </w:r>
      <w:r>
        <w:rPr>
          <w:rFonts w:hint="eastAsia" w:ascii="仿宋" w:hAnsi="仿宋" w:eastAsia="仿宋" w:cs="仿宋"/>
          <w:color w:val="auto"/>
          <w:sz w:val="28"/>
          <w:szCs w:val="28"/>
          <w:highlight w:val="none"/>
          <w:lang w:val="en-US" w:eastAsia="zh-CN"/>
        </w:rPr>
        <w:t>，施工时应进行地质探明，根据地质情况复核设计图纸，若施工时发现地质突变较大，应及时通知业主及设计单位进行处理。</w:t>
      </w:r>
    </w:p>
    <w:p w14:paraId="3DD02D3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（3）挡墙及附属设施应定时维护，维护时应检查墙面是否出现倾斜变形，墙顶桩土脱开，防撞护栏应检查基础是否稳固，栏杆是否局部破损等。</w:t>
      </w:r>
    </w:p>
    <w:p w14:paraId="37A97C6A">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default" w:ascii="仿宋" w:hAnsi="仿宋" w:eastAsia="仿宋" w:cs="仿宋"/>
          <w:b/>
          <w:bCs/>
          <w:color w:val="FF0000"/>
          <w:sz w:val="28"/>
          <w:szCs w:val="28"/>
          <w:highlight w:val="none"/>
          <w:lang w:val="en-US" w:eastAsia="zh-CN"/>
        </w:rPr>
      </w:pPr>
      <w:r>
        <w:rPr>
          <w:rFonts w:hint="eastAsia" w:ascii="仿宋" w:hAnsi="仿宋" w:eastAsia="仿宋" w:cs="仿宋"/>
          <w:b/>
          <w:bCs/>
          <w:color w:val="FF0000"/>
          <w:sz w:val="28"/>
          <w:szCs w:val="28"/>
          <w:highlight w:val="none"/>
          <w:lang w:val="en-US" w:eastAsia="zh-CN"/>
        </w:rPr>
        <w:t>（4）对于现在地面为斜坡区域，应先按土岩界面对坡体上部土体进行清表卸载后方可实施挡墙基槽开挖及边坡填筑。在台阶开挖回填时应加强边坡监测，同时施工时应采取分段跳槽施工，严禁大面积施工。</w:t>
      </w:r>
    </w:p>
    <w:p w14:paraId="49A3B96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（5）未尽事宜详按现行相关规范、规程执行。</w:t>
      </w:r>
    </w:p>
    <w:p w14:paraId="5461B663">
      <w:pPr>
        <w:pStyle w:val="35"/>
        <w:numPr>
          <w:ilvl w:val="0"/>
          <w:numId w:val="0"/>
        </w:numPr>
        <w:adjustRightInd w:val="0"/>
        <w:snapToGrid w:val="0"/>
        <w:ind w:left="420" w:leftChars="0"/>
        <w:outlineLvl w:val="1"/>
        <w:rPr>
          <w:rFonts w:hint="eastAsia" w:ascii="仿宋" w:hAnsi="仿宋" w:eastAsia="仿宋" w:cs="仿宋"/>
          <w:b/>
          <w:color w:val="auto"/>
          <w:szCs w:val="28"/>
          <w:highlight w:val="none"/>
          <w:lang w:val="en-US" w:eastAsia="zh-CN"/>
        </w:rPr>
      </w:pPr>
      <w:r>
        <w:rPr>
          <w:rFonts w:hint="eastAsia" w:ascii="仿宋" w:hAnsi="仿宋" w:eastAsia="仿宋" w:cs="仿宋"/>
          <w:b/>
          <w:color w:val="auto"/>
          <w:szCs w:val="28"/>
          <w:highlight w:val="none"/>
          <w:lang w:val="en-US" w:eastAsia="zh-CN"/>
        </w:rPr>
        <w:t>7.11监测</w:t>
      </w:r>
    </w:p>
    <w:p w14:paraId="7CE7908D">
      <w:pPr>
        <w:pStyle w:val="35"/>
        <w:keepNext w:val="0"/>
        <w:keepLines w:val="0"/>
        <w:pageBreakBefore w:val="0"/>
        <w:widowControl w:val="0"/>
        <w:numPr>
          <w:ilvl w:val="0"/>
          <w:numId w:val="0"/>
        </w:numPr>
        <w:kinsoku/>
        <w:wordWrap/>
        <w:overflowPunct/>
        <w:topLinePunct w:val="0"/>
        <w:autoSpaceDE/>
        <w:autoSpaceDN/>
        <w:bidi w:val="0"/>
        <w:adjustRightInd w:val="0"/>
        <w:snapToGrid w:val="0"/>
        <w:ind w:left="420" w:leftChars="0"/>
        <w:textAlignment w:val="auto"/>
        <w:outlineLvl w:val="2"/>
        <w:rPr>
          <w:rFonts w:hint="default" w:ascii="仿宋" w:hAnsi="仿宋" w:eastAsia="仿宋" w:cs="仿宋"/>
          <w:b/>
          <w:color w:val="auto"/>
          <w:szCs w:val="28"/>
          <w:highlight w:val="none"/>
          <w:lang w:val="en-US" w:eastAsia="zh-CN"/>
        </w:rPr>
      </w:pPr>
      <w:r>
        <w:rPr>
          <w:rFonts w:hint="eastAsia" w:ascii="仿宋" w:hAnsi="仿宋" w:eastAsia="仿宋" w:cs="仿宋"/>
          <w:b/>
          <w:color w:val="auto"/>
          <w:szCs w:val="28"/>
          <w:highlight w:val="none"/>
          <w:lang w:val="en-US" w:eastAsia="zh-CN"/>
        </w:rPr>
        <w:t>7.11.1 监测项目</w:t>
      </w:r>
    </w:p>
    <w:p w14:paraId="2A03DE9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对边坡表面位移实时监控，及时指导工程的实施，安排施工进度等。</w:t>
      </w:r>
    </w:p>
    <w:p w14:paraId="120F815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zh-CN" w:eastAsia="zh-CN"/>
        </w:rPr>
      </w:pPr>
    </w:p>
    <w:tbl>
      <w:tblPr>
        <w:tblStyle w:val="23"/>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43"/>
        <w:gridCol w:w="4054"/>
        <w:gridCol w:w="1485"/>
        <w:gridCol w:w="1485"/>
      </w:tblGrid>
      <w:tr w14:paraId="1F66C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pct"/>
            <w:noWrap w:val="0"/>
            <w:vAlign w:val="center"/>
          </w:tcPr>
          <w:p w14:paraId="3BB16CB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测试项目</w:t>
            </w:r>
          </w:p>
        </w:tc>
        <w:tc>
          <w:tcPr>
            <w:tcW w:w="1936" w:type="pct"/>
            <w:noWrap w:val="0"/>
            <w:vAlign w:val="center"/>
          </w:tcPr>
          <w:p w14:paraId="2A875EE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测点布置位置</w:t>
            </w:r>
          </w:p>
        </w:tc>
        <w:tc>
          <w:tcPr>
            <w:tcW w:w="709" w:type="pct"/>
            <w:noWrap w:val="0"/>
            <w:vAlign w:val="center"/>
          </w:tcPr>
          <w:p w14:paraId="58CDF5A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en-US" w:eastAsia="zh-CN"/>
              </w:rPr>
              <w:t>一</w:t>
            </w:r>
            <w:r>
              <w:rPr>
                <w:rFonts w:hint="eastAsia" w:ascii="仿宋" w:hAnsi="仿宋" w:eastAsia="仿宋" w:cs="仿宋"/>
                <w:color w:val="auto"/>
                <w:highlight w:val="none"/>
                <w:lang w:val="zh-CN" w:eastAsia="zh-CN"/>
              </w:rPr>
              <w:t>级边坡</w:t>
            </w:r>
          </w:p>
        </w:tc>
        <w:tc>
          <w:tcPr>
            <w:tcW w:w="709" w:type="pct"/>
            <w:noWrap w:val="0"/>
            <w:vAlign w:val="center"/>
          </w:tcPr>
          <w:p w14:paraId="5D0A649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二级边坡</w:t>
            </w:r>
          </w:p>
        </w:tc>
      </w:tr>
      <w:tr w14:paraId="4AE18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pct"/>
            <w:noWrap w:val="0"/>
            <w:vAlign w:val="center"/>
          </w:tcPr>
          <w:p w14:paraId="61FB31B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坡顶水平和垂直位移</w:t>
            </w:r>
          </w:p>
        </w:tc>
        <w:tc>
          <w:tcPr>
            <w:tcW w:w="1936" w:type="pct"/>
            <w:noWrap w:val="0"/>
            <w:vAlign w:val="center"/>
          </w:tcPr>
          <w:p w14:paraId="409303D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支护结构顶部</w:t>
            </w:r>
          </w:p>
        </w:tc>
        <w:tc>
          <w:tcPr>
            <w:tcW w:w="709" w:type="pct"/>
            <w:noWrap w:val="0"/>
            <w:vAlign w:val="center"/>
          </w:tcPr>
          <w:p w14:paraId="483B49D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应测</w:t>
            </w:r>
          </w:p>
        </w:tc>
        <w:tc>
          <w:tcPr>
            <w:tcW w:w="709" w:type="pct"/>
            <w:noWrap w:val="0"/>
            <w:vAlign w:val="center"/>
          </w:tcPr>
          <w:p w14:paraId="2ABC324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应测</w:t>
            </w:r>
          </w:p>
        </w:tc>
      </w:tr>
      <w:tr w14:paraId="56775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pct"/>
            <w:noWrap w:val="0"/>
            <w:vAlign w:val="center"/>
          </w:tcPr>
          <w:p w14:paraId="2280581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地表裂缝</w:t>
            </w:r>
          </w:p>
        </w:tc>
        <w:tc>
          <w:tcPr>
            <w:tcW w:w="1936" w:type="pct"/>
            <w:noWrap w:val="0"/>
            <w:vAlign w:val="center"/>
          </w:tcPr>
          <w:p w14:paraId="7307060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墙顶背后1.</w:t>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lang w:val="zh-CN" w:eastAsia="zh-CN"/>
              </w:rPr>
              <w:t>H(H为边坡高度)</w:t>
            </w:r>
          </w:p>
        </w:tc>
        <w:tc>
          <w:tcPr>
            <w:tcW w:w="709" w:type="pct"/>
            <w:noWrap w:val="0"/>
            <w:vAlign w:val="center"/>
          </w:tcPr>
          <w:p w14:paraId="79B2C5F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应测</w:t>
            </w:r>
          </w:p>
        </w:tc>
        <w:tc>
          <w:tcPr>
            <w:tcW w:w="709" w:type="pct"/>
            <w:noWrap w:val="0"/>
            <w:vAlign w:val="center"/>
          </w:tcPr>
          <w:p w14:paraId="1F5FEBD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应测</w:t>
            </w:r>
          </w:p>
        </w:tc>
      </w:tr>
      <w:tr w14:paraId="66C5B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pct"/>
            <w:noWrap w:val="0"/>
            <w:vAlign w:val="center"/>
          </w:tcPr>
          <w:p w14:paraId="6FC9749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降雨与时间关系</w:t>
            </w:r>
          </w:p>
        </w:tc>
        <w:tc>
          <w:tcPr>
            <w:tcW w:w="1936" w:type="pct"/>
            <w:noWrap w:val="0"/>
            <w:vAlign w:val="center"/>
          </w:tcPr>
          <w:p w14:paraId="1A589F5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highlight w:val="none"/>
                <w:lang w:val="zh-CN" w:eastAsia="zh-CN"/>
              </w:rPr>
            </w:pPr>
          </w:p>
        </w:tc>
        <w:tc>
          <w:tcPr>
            <w:tcW w:w="709" w:type="pct"/>
            <w:noWrap w:val="0"/>
            <w:vAlign w:val="center"/>
          </w:tcPr>
          <w:p w14:paraId="36B03BD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应测</w:t>
            </w:r>
          </w:p>
        </w:tc>
        <w:tc>
          <w:tcPr>
            <w:tcW w:w="709" w:type="pct"/>
            <w:noWrap w:val="0"/>
            <w:vAlign w:val="center"/>
          </w:tcPr>
          <w:p w14:paraId="6EBB1C5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应测</w:t>
            </w:r>
          </w:p>
        </w:tc>
      </w:tr>
      <w:tr w14:paraId="2B706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pct"/>
            <w:noWrap w:val="0"/>
            <w:vAlign w:val="center"/>
          </w:tcPr>
          <w:p w14:paraId="3EFDA23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支护结构变形</w:t>
            </w:r>
          </w:p>
        </w:tc>
        <w:tc>
          <w:tcPr>
            <w:tcW w:w="1936" w:type="pct"/>
            <w:noWrap w:val="0"/>
            <w:vAlign w:val="center"/>
          </w:tcPr>
          <w:p w14:paraId="4BC7066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主要受力构件</w:t>
            </w:r>
          </w:p>
        </w:tc>
        <w:tc>
          <w:tcPr>
            <w:tcW w:w="709" w:type="pct"/>
            <w:noWrap w:val="0"/>
            <w:vAlign w:val="center"/>
          </w:tcPr>
          <w:p w14:paraId="0A6406B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应测</w:t>
            </w:r>
          </w:p>
        </w:tc>
        <w:tc>
          <w:tcPr>
            <w:tcW w:w="709" w:type="pct"/>
            <w:noWrap w:val="0"/>
            <w:vAlign w:val="center"/>
          </w:tcPr>
          <w:p w14:paraId="2FA1720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en-US" w:eastAsia="zh-CN"/>
              </w:rPr>
              <w:t>选</w:t>
            </w:r>
            <w:r>
              <w:rPr>
                <w:rFonts w:hint="eastAsia" w:ascii="仿宋" w:hAnsi="仿宋" w:eastAsia="仿宋" w:cs="仿宋"/>
                <w:color w:val="auto"/>
                <w:highlight w:val="none"/>
                <w:lang w:val="zh-CN" w:eastAsia="zh-CN"/>
              </w:rPr>
              <w:t>测</w:t>
            </w:r>
          </w:p>
        </w:tc>
      </w:tr>
      <w:tr w14:paraId="745DC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pct"/>
            <w:noWrap w:val="0"/>
            <w:vAlign w:val="center"/>
          </w:tcPr>
          <w:p w14:paraId="2D50B21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支护结构应力</w:t>
            </w:r>
          </w:p>
        </w:tc>
        <w:tc>
          <w:tcPr>
            <w:tcW w:w="1936" w:type="pct"/>
            <w:noWrap w:val="0"/>
            <w:vAlign w:val="center"/>
          </w:tcPr>
          <w:p w14:paraId="53840BE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应力最大处</w:t>
            </w:r>
          </w:p>
        </w:tc>
        <w:tc>
          <w:tcPr>
            <w:tcW w:w="709" w:type="pct"/>
            <w:noWrap w:val="0"/>
            <w:vAlign w:val="center"/>
          </w:tcPr>
          <w:p w14:paraId="27552C7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应测</w:t>
            </w:r>
          </w:p>
        </w:tc>
        <w:tc>
          <w:tcPr>
            <w:tcW w:w="709" w:type="pct"/>
            <w:noWrap w:val="0"/>
            <w:vAlign w:val="center"/>
          </w:tcPr>
          <w:p w14:paraId="5B93998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选</w:t>
            </w:r>
            <w:r>
              <w:rPr>
                <w:rFonts w:hint="eastAsia" w:ascii="仿宋" w:hAnsi="仿宋" w:eastAsia="仿宋" w:cs="仿宋"/>
                <w:color w:val="auto"/>
                <w:highlight w:val="none"/>
                <w:lang w:val="zh-CN" w:eastAsia="zh-CN"/>
              </w:rPr>
              <w:t>测</w:t>
            </w:r>
          </w:p>
        </w:tc>
      </w:tr>
      <w:tr w14:paraId="1AE5D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pct"/>
            <w:noWrap w:val="0"/>
            <w:vAlign w:val="center"/>
          </w:tcPr>
          <w:p w14:paraId="5033763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地下水、渗水与降雨关系</w:t>
            </w:r>
          </w:p>
        </w:tc>
        <w:tc>
          <w:tcPr>
            <w:tcW w:w="1936" w:type="pct"/>
            <w:noWrap w:val="0"/>
            <w:vAlign w:val="center"/>
          </w:tcPr>
          <w:p w14:paraId="090D81E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出水点</w:t>
            </w:r>
          </w:p>
        </w:tc>
        <w:tc>
          <w:tcPr>
            <w:tcW w:w="709" w:type="pct"/>
            <w:noWrap w:val="0"/>
            <w:vAlign w:val="center"/>
          </w:tcPr>
          <w:p w14:paraId="48938D8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应测</w:t>
            </w:r>
          </w:p>
        </w:tc>
        <w:tc>
          <w:tcPr>
            <w:tcW w:w="709" w:type="pct"/>
            <w:noWrap w:val="0"/>
            <w:vAlign w:val="center"/>
          </w:tcPr>
          <w:p w14:paraId="4B19565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en-US" w:eastAsia="zh-CN"/>
              </w:rPr>
              <w:t>选</w:t>
            </w:r>
            <w:r>
              <w:rPr>
                <w:rFonts w:hint="eastAsia" w:ascii="仿宋" w:hAnsi="仿宋" w:eastAsia="仿宋" w:cs="仿宋"/>
                <w:color w:val="auto"/>
                <w:highlight w:val="none"/>
                <w:lang w:val="zh-CN" w:eastAsia="zh-CN"/>
              </w:rPr>
              <w:t>测</w:t>
            </w:r>
          </w:p>
        </w:tc>
      </w:tr>
      <w:tr w14:paraId="0B34F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4" w:type="pct"/>
            <w:noWrap w:val="0"/>
            <w:vAlign w:val="center"/>
          </w:tcPr>
          <w:p w14:paraId="44207D7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坡顶建筑物变形</w:t>
            </w:r>
          </w:p>
        </w:tc>
        <w:tc>
          <w:tcPr>
            <w:tcW w:w="1936" w:type="pct"/>
            <w:noWrap w:val="0"/>
            <w:vAlign w:val="center"/>
          </w:tcPr>
          <w:p w14:paraId="571668B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边坡坡顶建筑物基础和墙面</w:t>
            </w:r>
          </w:p>
        </w:tc>
        <w:tc>
          <w:tcPr>
            <w:tcW w:w="709" w:type="pct"/>
            <w:noWrap w:val="0"/>
            <w:vAlign w:val="center"/>
          </w:tcPr>
          <w:p w14:paraId="4AB8043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应测</w:t>
            </w:r>
          </w:p>
        </w:tc>
        <w:tc>
          <w:tcPr>
            <w:tcW w:w="709" w:type="pct"/>
            <w:noWrap w:val="0"/>
            <w:vAlign w:val="center"/>
          </w:tcPr>
          <w:p w14:paraId="194E146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en-US" w:eastAsia="zh-CN"/>
              </w:rPr>
              <w:t>应</w:t>
            </w:r>
            <w:r>
              <w:rPr>
                <w:rFonts w:hint="eastAsia" w:ascii="仿宋" w:hAnsi="仿宋" w:eastAsia="仿宋" w:cs="仿宋"/>
                <w:color w:val="auto"/>
                <w:highlight w:val="none"/>
                <w:lang w:val="zh-CN" w:eastAsia="zh-CN"/>
              </w:rPr>
              <w:t>测</w:t>
            </w:r>
          </w:p>
        </w:tc>
      </w:tr>
    </w:tbl>
    <w:p w14:paraId="74D9D7C1">
      <w:pPr>
        <w:pStyle w:val="35"/>
        <w:keepNext w:val="0"/>
        <w:keepLines w:val="0"/>
        <w:pageBreakBefore w:val="0"/>
        <w:widowControl w:val="0"/>
        <w:numPr>
          <w:ilvl w:val="0"/>
          <w:numId w:val="0"/>
        </w:numPr>
        <w:kinsoku/>
        <w:wordWrap/>
        <w:overflowPunct/>
        <w:topLinePunct w:val="0"/>
        <w:autoSpaceDE/>
        <w:autoSpaceDN/>
        <w:bidi w:val="0"/>
        <w:adjustRightInd w:val="0"/>
        <w:snapToGrid w:val="0"/>
        <w:ind w:left="420" w:leftChars="0"/>
        <w:textAlignment w:val="auto"/>
        <w:outlineLvl w:val="2"/>
        <w:rPr>
          <w:rFonts w:hint="default" w:ascii="仿宋" w:hAnsi="仿宋" w:eastAsia="仿宋" w:cs="仿宋"/>
          <w:b/>
          <w:color w:val="auto"/>
          <w:szCs w:val="28"/>
          <w:highlight w:val="none"/>
          <w:lang w:val="en-US" w:eastAsia="zh-CN"/>
        </w:rPr>
      </w:pPr>
      <w:r>
        <w:rPr>
          <w:rFonts w:hint="eastAsia" w:ascii="仿宋" w:hAnsi="仿宋" w:eastAsia="仿宋" w:cs="仿宋"/>
          <w:b/>
          <w:color w:val="auto"/>
          <w:szCs w:val="28"/>
          <w:highlight w:val="none"/>
          <w:lang w:val="en-US" w:eastAsia="zh-CN"/>
        </w:rPr>
        <w:t>7.11.2 监测方法</w:t>
      </w:r>
    </w:p>
    <w:p w14:paraId="50664E7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大地形变监测利用GPS或全站仪采用极坐标法测量；降雨量、测水量、人工活动则通过巡视调查落实。</w:t>
      </w:r>
    </w:p>
    <w:p w14:paraId="7E45C5C8">
      <w:pPr>
        <w:pStyle w:val="35"/>
        <w:keepNext w:val="0"/>
        <w:keepLines w:val="0"/>
        <w:pageBreakBefore w:val="0"/>
        <w:widowControl w:val="0"/>
        <w:numPr>
          <w:ilvl w:val="0"/>
          <w:numId w:val="0"/>
        </w:numPr>
        <w:kinsoku/>
        <w:wordWrap/>
        <w:overflowPunct/>
        <w:topLinePunct w:val="0"/>
        <w:autoSpaceDE/>
        <w:autoSpaceDN/>
        <w:bidi w:val="0"/>
        <w:adjustRightInd w:val="0"/>
        <w:snapToGrid w:val="0"/>
        <w:ind w:left="420" w:leftChars="0"/>
        <w:textAlignment w:val="auto"/>
        <w:outlineLvl w:val="2"/>
        <w:rPr>
          <w:rFonts w:hint="default" w:ascii="仿宋" w:hAnsi="仿宋" w:eastAsia="仿宋" w:cs="仿宋"/>
          <w:b/>
          <w:color w:val="auto"/>
          <w:szCs w:val="28"/>
          <w:highlight w:val="none"/>
          <w:lang w:val="en-US" w:eastAsia="zh-CN"/>
        </w:rPr>
      </w:pPr>
      <w:r>
        <w:rPr>
          <w:rFonts w:hint="eastAsia" w:ascii="仿宋" w:hAnsi="仿宋" w:eastAsia="仿宋" w:cs="仿宋"/>
          <w:b/>
          <w:color w:val="auto"/>
          <w:szCs w:val="28"/>
          <w:highlight w:val="none"/>
          <w:lang w:val="en-US" w:eastAsia="zh-CN"/>
        </w:rPr>
        <w:t>7.11.3 监测年限</w:t>
      </w:r>
    </w:p>
    <w:p w14:paraId="4A0B666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边坡应由有资质的单位作长期观测，永久边坡在竣工后的专业效果观测时间不应少于两年（临时边坡在其使用年限范围内均应进行边坡监测）。其后可根据规范要求定期进行简易监测。</w:t>
      </w:r>
    </w:p>
    <w:p w14:paraId="483B6BC4">
      <w:pPr>
        <w:pStyle w:val="35"/>
        <w:keepNext w:val="0"/>
        <w:keepLines w:val="0"/>
        <w:pageBreakBefore w:val="0"/>
        <w:widowControl w:val="0"/>
        <w:numPr>
          <w:ilvl w:val="0"/>
          <w:numId w:val="0"/>
        </w:numPr>
        <w:kinsoku/>
        <w:wordWrap/>
        <w:overflowPunct/>
        <w:topLinePunct w:val="0"/>
        <w:autoSpaceDE/>
        <w:autoSpaceDN/>
        <w:bidi w:val="0"/>
        <w:adjustRightInd w:val="0"/>
        <w:snapToGrid w:val="0"/>
        <w:ind w:left="420" w:leftChars="0"/>
        <w:textAlignment w:val="auto"/>
        <w:outlineLvl w:val="2"/>
        <w:rPr>
          <w:rFonts w:hint="default" w:ascii="仿宋" w:hAnsi="仿宋" w:eastAsia="仿宋" w:cs="仿宋"/>
          <w:b/>
          <w:color w:val="auto"/>
          <w:szCs w:val="28"/>
          <w:highlight w:val="none"/>
          <w:lang w:val="en-US" w:eastAsia="zh-CN"/>
        </w:rPr>
      </w:pPr>
      <w:r>
        <w:rPr>
          <w:rFonts w:hint="eastAsia" w:ascii="仿宋" w:hAnsi="仿宋" w:eastAsia="仿宋" w:cs="仿宋"/>
          <w:b/>
          <w:color w:val="auto"/>
          <w:szCs w:val="28"/>
          <w:highlight w:val="none"/>
          <w:lang w:val="en-US" w:eastAsia="zh-CN"/>
        </w:rPr>
        <w:t>7.11.4 监测周期</w:t>
      </w:r>
    </w:p>
    <w:p w14:paraId="67D3514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施工安全监测原则每7天监测一次，24小时不间断人工巡视。对于施工扰动变形明显的应施行24小时不间断监测；防治效果监测雨季每10～15天监测一次，旱季每1个月监测一次；遇险情或特殊情况时，应加密观测。</w:t>
      </w:r>
    </w:p>
    <w:p w14:paraId="2CF91887">
      <w:pPr>
        <w:pStyle w:val="35"/>
        <w:numPr>
          <w:ilvl w:val="0"/>
          <w:numId w:val="0"/>
        </w:numPr>
        <w:adjustRightInd w:val="0"/>
        <w:snapToGrid w:val="0"/>
        <w:ind w:left="420" w:leftChars="0"/>
        <w:outlineLvl w:val="1"/>
        <w:rPr>
          <w:rFonts w:hint="eastAsia" w:ascii="仿宋" w:hAnsi="仿宋" w:eastAsia="仿宋" w:cs="仿宋"/>
          <w:b/>
          <w:color w:val="auto"/>
          <w:szCs w:val="28"/>
          <w:highlight w:val="none"/>
          <w:lang w:val="en-US" w:eastAsia="zh-CN"/>
        </w:rPr>
      </w:pPr>
      <w:r>
        <w:rPr>
          <w:rFonts w:hint="eastAsia" w:ascii="仿宋" w:hAnsi="仿宋" w:eastAsia="仿宋" w:cs="仿宋"/>
          <w:b/>
          <w:color w:val="auto"/>
          <w:szCs w:val="28"/>
          <w:highlight w:val="none"/>
          <w:lang w:val="en-US" w:eastAsia="zh-CN"/>
        </w:rPr>
        <w:t>7.12检测</w:t>
      </w:r>
    </w:p>
    <w:p w14:paraId="1F8E09C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val="zh-CN" w:eastAsia="zh-CN"/>
        </w:rPr>
        <w:t xml:space="preserve"> 混凝土强度检测，不低于设计值。</w:t>
      </w:r>
    </w:p>
    <w:p w14:paraId="0D80265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val="zh-CN" w:eastAsia="zh-CN"/>
        </w:rPr>
        <w:t>）地基承载力检测，不低于挡墙基底应力。</w:t>
      </w:r>
    </w:p>
    <w:p w14:paraId="44C6CD5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val="zh-CN" w:eastAsia="zh-CN"/>
        </w:rPr>
        <w:t>）填方边坡应进行压实度检测，检测方法为环刀法，压实系数应满足要求。</w:t>
      </w:r>
    </w:p>
    <w:p w14:paraId="7768FBE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val="zh-CN" w:eastAsia="zh-CN"/>
        </w:rPr>
        <w:t>）花格植草护坡，应满足每平方米草籽含量不低于20g。草种生长后，总绿化面积不应低于90%</w:t>
      </w:r>
    </w:p>
    <w:p w14:paraId="51AE9A12">
      <w:pPr>
        <w:pStyle w:val="35"/>
        <w:numPr>
          <w:ilvl w:val="0"/>
          <w:numId w:val="0"/>
        </w:numPr>
        <w:adjustRightInd w:val="0"/>
        <w:snapToGrid w:val="0"/>
        <w:ind w:left="420" w:leftChars="0"/>
        <w:outlineLvl w:val="1"/>
        <w:rPr>
          <w:rFonts w:hint="eastAsia" w:ascii="仿宋" w:hAnsi="仿宋" w:eastAsia="仿宋" w:cs="仿宋"/>
          <w:b/>
          <w:color w:val="auto"/>
          <w:szCs w:val="28"/>
          <w:highlight w:val="none"/>
          <w:lang w:val="en-US" w:eastAsia="zh-CN"/>
        </w:rPr>
      </w:pPr>
      <w:bookmarkStart w:id="80" w:name="_Toc190696665"/>
      <w:r>
        <w:rPr>
          <w:rFonts w:hint="eastAsia" w:ascii="仿宋" w:hAnsi="仿宋" w:eastAsia="仿宋" w:cs="仿宋"/>
          <w:b/>
          <w:color w:val="auto"/>
          <w:szCs w:val="28"/>
          <w:highlight w:val="none"/>
          <w:lang w:val="en-US" w:eastAsia="zh-CN"/>
        </w:rPr>
        <w:t>7.13其它及注意事项</w:t>
      </w:r>
      <w:bookmarkEnd w:id="80"/>
    </w:p>
    <w:p w14:paraId="792E200A">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仿宋"/>
          <w:b/>
          <w:bCs/>
          <w:color w:val="auto"/>
          <w:sz w:val="28"/>
          <w:szCs w:val="28"/>
          <w:highlight w:val="none"/>
          <w:lang w:val="zh-CN" w:eastAsia="zh-CN"/>
        </w:rPr>
      </w:pPr>
      <w:r>
        <w:rPr>
          <w:rFonts w:hint="eastAsia" w:ascii="仿宋" w:hAnsi="仿宋" w:eastAsia="仿宋" w:cs="仿宋"/>
          <w:b/>
          <w:bCs/>
          <w:color w:val="auto"/>
          <w:sz w:val="28"/>
          <w:szCs w:val="28"/>
          <w:highlight w:val="none"/>
          <w:lang w:val="zh-CN" w:eastAsia="zh-CN"/>
        </w:rPr>
        <w:t>（</w:t>
      </w:r>
      <w:r>
        <w:rPr>
          <w:rFonts w:hint="eastAsia" w:ascii="仿宋" w:hAnsi="仿宋" w:eastAsia="仿宋" w:cs="仿宋"/>
          <w:b/>
          <w:bCs/>
          <w:color w:val="auto"/>
          <w:sz w:val="28"/>
          <w:szCs w:val="28"/>
          <w:highlight w:val="none"/>
          <w:lang w:val="en-US" w:eastAsia="zh-CN"/>
        </w:rPr>
        <w:t>1</w:t>
      </w:r>
      <w:r>
        <w:rPr>
          <w:rFonts w:hint="eastAsia" w:ascii="仿宋" w:hAnsi="仿宋" w:eastAsia="仿宋" w:cs="仿宋"/>
          <w:b/>
          <w:bCs/>
          <w:color w:val="auto"/>
          <w:sz w:val="28"/>
          <w:szCs w:val="28"/>
          <w:highlight w:val="none"/>
          <w:lang w:val="zh-CN" w:eastAsia="zh-CN"/>
        </w:rPr>
        <w:t>）边坡采用动态设计法，施工单位应采用信息法施工。开挖时应采用逆作法，对场内形成的边坡应采取自上而下、分段跳槽、及时支护、并分段进行的逆作法施工，严禁无序大开挖、大爆破作业。</w:t>
      </w:r>
    </w:p>
    <w:p w14:paraId="604CABD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（2）由于本工程边坡较高，施工必须加强安全措施。高边坡施工需搭设脚手架。</w:t>
      </w:r>
    </w:p>
    <w:p w14:paraId="5D02CED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（3）加强对已开挖边坡的监测和观察。并及时封水。已开挖边坡坡顶必须设置安全防护措施。</w:t>
      </w:r>
    </w:p>
    <w:p w14:paraId="41932D0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施工前应编制专项施工方案，应进行分段跳槽开挖实施，严禁大面积开挖。严禁大面积爆破开挖，坡面2m范围内禁止爆破施工，采用机械和人工修整。顺向坡相关区域（包含爆破可能影响顺向坡稳定性区域）禁止爆破开挖；当包括施工可能影响轨道安全时，禁止爆破开挖。</w:t>
      </w:r>
    </w:p>
    <w:p w14:paraId="538CF28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（5）施工中应配备抽水设备，以抽排基坑中渗入的地表水和地下水，雨季施工应注意疏排地表水流；基槽开挖验收合格后，应立即封闭或留保护层，以免影响岩体的承载力。</w:t>
      </w:r>
    </w:p>
    <w:p w14:paraId="66BAEB0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lang w:val="zh-CN" w:eastAsia="zh-CN"/>
        </w:rPr>
        <w:t>边坡开挖过程中，严禁抢工期，严禁超挖、超载，严禁不按设计要求的施工顺序施工或设计方案施工。严格按照“逆做法、信息法”施工，挖方边坡开挖过程中应采取变形监测措施。</w:t>
      </w:r>
    </w:p>
    <w:p w14:paraId="2E1B3F4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w:t>
      </w: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lang w:val="zh-CN" w:eastAsia="zh-CN"/>
        </w:rPr>
        <w:t>）</w:t>
      </w:r>
      <w:r>
        <w:rPr>
          <w:rFonts w:hint="eastAsia" w:ascii="仿宋" w:hAnsi="仿宋" w:eastAsia="仿宋" w:cs="仿宋"/>
          <w:b/>
          <w:bCs/>
          <w:color w:val="auto"/>
          <w:sz w:val="28"/>
          <w:szCs w:val="28"/>
          <w:highlight w:val="none"/>
          <w:lang w:val="zh-CN" w:eastAsia="zh-CN"/>
        </w:rPr>
        <w:t>本工程暂无地质勘查报告，</w:t>
      </w:r>
      <w:r>
        <w:rPr>
          <w:rFonts w:hint="eastAsia" w:ascii="仿宋" w:hAnsi="仿宋" w:eastAsia="仿宋" w:cs="仿宋"/>
          <w:b/>
          <w:bCs/>
          <w:color w:val="auto"/>
          <w:sz w:val="28"/>
          <w:szCs w:val="28"/>
          <w:highlight w:val="none"/>
          <w:lang w:val="en-US" w:eastAsia="zh-CN"/>
        </w:rPr>
        <w:t>施工前应对地质进行探明，并委托具有相应资质的单位出具相关地质报告，并反馈设计进行复核，以便复核、调整设计</w:t>
      </w:r>
      <w:r>
        <w:rPr>
          <w:rFonts w:hint="eastAsia" w:ascii="仿宋" w:hAnsi="仿宋" w:eastAsia="仿宋" w:cs="仿宋"/>
          <w:color w:val="auto"/>
          <w:sz w:val="28"/>
          <w:szCs w:val="28"/>
          <w:highlight w:val="none"/>
          <w:lang w:val="en-US" w:eastAsia="zh-CN"/>
        </w:rPr>
        <w:t>。</w:t>
      </w:r>
    </w:p>
    <w:p w14:paraId="704A0644">
      <w:pPr>
        <w:pStyle w:val="35"/>
        <w:numPr>
          <w:ilvl w:val="0"/>
          <w:numId w:val="0"/>
        </w:numPr>
        <w:adjustRightInd w:val="0"/>
        <w:snapToGrid w:val="0"/>
        <w:ind w:left="420" w:leftChars="0"/>
        <w:outlineLvl w:val="1"/>
        <w:rPr>
          <w:rFonts w:hint="eastAsia" w:ascii="仿宋" w:hAnsi="仿宋" w:eastAsia="仿宋" w:cs="仿宋"/>
          <w:b/>
          <w:color w:val="auto"/>
          <w:szCs w:val="28"/>
          <w:highlight w:val="none"/>
          <w:lang w:val="en-US" w:eastAsia="zh-CN"/>
        </w:rPr>
      </w:pPr>
      <w:r>
        <w:rPr>
          <w:rFonts w:hint="eastAsia" w:ascii="仿宋" w:hAnsi="仿宋" w:eastAsia="仿宋" w:cs="仿宋"/>
          <w:b/>
          <w:color w:val="auto"/>
          <w:szCs w:val="28"/>
          <w:highlight w:val="none"/>
          <w:lang w:val="en-US" w:eastAsia="zh-CN"/>
        </w:rPr>
        <w:t>7.14危险性较大的分部分项工程</w:t>
      </w:r>
    </w:p>
    <w:p w14:paraId="69792AEE">
      <w:pPr>
        <w:pStyle w:val="35"/>
        <w:keepNext w:val="0"/>
        <w:keepLines w:val="0"/>
        <w:pageBreakBefore w:val="0"/>
        <w:widowControl w:val="0"/>
        <w:numPr>
          <w:ilvl w:val="0"/>
          <w:numId w:val="0"/>
        </w:numPr>
        <w:kinsoku/>
        <w:wordWrap/>
        <w:overflowPunct/>
        <w:topLinePunct w:val="0"/>
        <w:autoSpaceDE/>
        <w:autoSpaceDN/>
        <w:bidi w:val="0"/>
        <w:adjustRightInd w:val="0"/>
        <w:snapToGrid w:val="0"/>
        <w:ind w:left="420" w:leftChars="0"/>
        <w:textAlignment w:val="auto"/>
        <w:outlineLvl w:val="2"/>
        <w:rPr>
          <w:rFonts w:hint="eastAsia" w:ascii="仿宋" w:hAnsi="仿宋" w:eastAsia="仿宋" w:cs="仿宋"/>
          <w:b/>
          <w:color w:val="auto"/>
          <w:szCs w:val="28"/>
          <w:highlight w:val="none"/>
          <w:lang w:val="en-US" w:eastAsia="zh-CN"/>
        </w:rPr>
      </w:pPr>
      <w:r>
        <w:rPr>
          <w:rFonts w:hint="eastAsia" w:ascii="仿宋" w:hAnsi="仿宋" w:eastAsia="仿宋" w:cs="仿宋"/>
          <w:b/>
          <w:color w:val="auto"/>
          <w:szCs w:val="28"/>
          <w:highlight w:val="none"/>
          <w:lang w:val="en-US" w:eastAsia="zh-CN"/>
        </w:rPr>
        <w:t>7.14.1 范围</w:t>
      </w:r>
    </w:p>
    <w:p w14:paraId="1579A72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根据《住房城乡建设部办公厅关于实施〈危险性较大的分部分项工程安全管理规定〉有关问题的通知》建办质〔2018〕31号的要求，本分项工程存在以下危险性较大、超过一定规模的危险性较大分部分项工程：</w:t>
      </w:r>
    </w:p>
    <w:p w14:paraId="1F6BFB6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（1）基坑开挖≥3m；</w:t>
      </w:r>
    </w:p>
    <w:p w14:paraId="1A15F6E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（2）混凝土模板搭设；</w:t>
      </w:r>
    </w:p>
    <w:p w14:paraId="4E6B94B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zh-CN" w:eastAsia="zh-CN"/>
        </w:rPr>
        <w:t>（</w:t>
      </w:r>
      <w:r>
        <w:rPr>
          <w:rFonts w:hint="eastAsia" w:ascii="仿宋" w:hAnsi="仿宋" w:eastAsia="仿宋" w:cs="仿宋"/>
          <w:color w:val="auto"/>
          <w:sz w:val="28"/>
          <w:szCs w:val="28"/>
          <w:highlight w:val="none"/>
          <w:lang w:val="en-US" w:eastAsia="zh-CN"/>
        </w:rPr>
        <w:t>3）其他因施工工艺的危险性较大或超过一定规模的危险性较大的分部分项工程由施工单位确定。</w:t>
      </w:r>
    </w:p>
    <w:p w14:paraId="7B12843C">
      <w:pPr>
        <w:pStyle w:val="35"/>
        <w:keepNext w:val="0"/>
        <w:keepLines w:val="0"/>
        <w:pageBreakBefore w:val="0"/>
        <w:widowControl w:val="0"/>
        <w:numPr>
          <w:ilvl w:val="0"/>
          <w:numId w:val="0"/>
        </w:numPr>
        <w:kinsoku/>
        <w:wordWrap/>
        <w:overflowPunct/>
        <w:topLinePunct w:val="0"/>
        <w:autoSpaceDE/>
        <w:autoSpaceDN/>
        <w:bidi w:val="0"/>
        <w:adjustRightInd w:val="0"/>
        <w:snapToGrid w:val="0"/>
        <w:ind w:left="420" w:leftChars="0"/>
        <w:textAlignment w:val="auto"/>
        <w:outlineLvl w:val="2"/>
        <w:rPr>
          <w:rFonts w:hint="eastAsia" w:ascii="仿宋" w:hAnsi="仿宋" w:eastAsia="仿宋" w:cs="仿宋"/>
          <w:b/>
          <w:color w:val="auto"/>
          <w:szCs w:val="28"/>
          <w:highlight w:val="none"/>
          <w:lang w:val="en-US" w:eastAsia="zh-CN"/>
        </w:rPr>
      </w:pPr>
      <w:r>
        <w:rPr>
          <w:rFonts w:hint="eastAsia" w:ascii="仿宋" w:hAnsi="仿宋" w:eastAsia="仿宋" w:cs="仿宋"/>
          <w:b/>
          <w:color w:val="auto"/>
          <w:szCs w:val="28"/>
          <w:highlight w:val="none"/>
          <w:lang w:val="en-US" w:eastAsia="zh-CN"/>
        </w:rPr>
        <w:t>7.14.2 专项施工方案</w:t>
      </w:r>
    </w:p>
    <w:p w14:paraId="71671C4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（1）施工单位应当在危大工程施工前组织工程技术人员编制专项施工方案。</w:t>
      </w:r>
    </w:p>
    <w:p w14:paraId="6DBD944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（2）专项施工方案应当由施工单位技术负责人审核签字、加盖单位公章，并由总监理工程师审查签字、加盖执业印章后方可实施。</w:t>
      </w:r>
    </w:p>
    <w:p w14:paraId="0D9431E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对于超过一定规模的危大工程，施工单位应当组织召开专家论证会对专项施工方案进行论证。实行施工总承包的，由施工总承包单位组织召开专家论证会。专家论证前专项施工方案应当通过施工单位审核和总监理工程师审查。</w:t>
      </w:r>
    </w:p>
    <w:p w14:paraId="04D7D8C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（4）专家论证会后，应当形成论证报告，对专项施工方案提出通过、修改后通过或者不通过的一致意见。专家对论证报告负责并签字确认。</w:t>
      </w:r>
    </w:p>
    <w:p w14:paraId="030F80B9">
      <w:pPr>
        <w:pStyle w:val="35"/>
        <w:keepNext w:val="0"/>
        <w:keepLines w:val="0"/>
        <w:pageBreakBefore w:val="0"/>
        <w:widowControl w:val="0"/>
        <w:numPr>
          <w:ilvl w:val="0"/>
          <w:numId w:val="0"/>
        </w:numPr>
        <w:kinsoku/>
        <w:wordWrap/>
        <w:overflowPunct/>
        <w:topLinePunct w:val="0"/>
        <w:autoSpaceDE/>
        <w:autoSpaceDN/>
        <w:bidi w:val="0"/>
        <w:adjustRightInd w:val="0"/>
        <w:snapToGrid w:val="0"/>
        <w:ind w:left="420" w:leftChars="0"/>
        <w:textAlignment w:val="auto"/>
        <w:outlineLvl w:val="2"/>
        <w:rPr>
          <w:rFonts w:hint="eastAsia" w:ascii="仿宋" w:hAnsi="仿宋" w:eastAsia="仿宋" w:cs="仿宋"/>
          <w:b/>
          <w:color w:val="auto"/>
          <w:szCs w:val="28"/>
          <w:highlight w:val="none"/>
          <w:lang w:val="en-US" w:eastAsia="zh-CN"/>
        </w:rPr>
      </w:pPr>
      <w:r>
        <w:rPr>
          <w:rFonts w:hint="eastAsia" w:ascii="仿宋" w:hAnsi="仿宋" w:eastAsia="仿宋" w:cs="仿宋"/>
          <w:b/>
          <w:color w:val="auto"/>
          <w:szCs w:val="28"/>
          <w:highlight w:val="none"/>
          <w:lang w:val="en-US" w:eastAsia="zh-CN"/>
        </w:rPr>
        <w:t>7.14.3 现场安全管理</w:t>
      </w:r>
    </w:p>
    <w:p w14:paraId="7857011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（1）施工单位应当在施工现场显著位置公告危大工程名称、施工时间和具体责任人员，并在危险区域设置安全警示标志。</w:t>
      </w:r>
    </w:p>
    <w:p w14:paraId="10ACC8E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（2）专项施工方案实施前，编制人员或者项目技术负责人应当向施工现场管理人员进行方案交底。</w:t>
      </w:r>
    </w:p>
    <w:p w14:paraId="3C59B6B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（3）施工单位应当严格按照专项施工方案组织施工，不得擅自修改专项施工方案。</w:t>
      </w:r>
    </w:p>
    <w:p w14:paraId="4A2AA0C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（4）施工单位应当对危大工程施工作业人员进行登记，项目负责人应当在施工现场履职。</w:t>
      </w:r>
    </w:p>
    <w:p w14:paraId="22D3340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（5）监理单位应当结合危大工程专项施工方案编制监理实施细则，并对危大工程施工实施专项巡视检查。</w:t>
      </w:r>
    </w:p>
    <w:p w14:paraId="270B033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监理单位发现施工单位未按照专项施工方案施工的，应当要求其进行整改；情节严重的，应当要求其暂停施工，并及时报告建设单位。施工单位拒不整改或者不停止施工的，监理单位应当及时报告建设单位和工程所在地住房城乡建设主管部门。</w:t>
      </w:r>
    </w:p>
    <w:p w14:paraId="6548FA4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（7）对于按照规定需要进行第三方监测的危大工程，建设单位应当委托具有</w:t>
      </w:r>
    </w:p>
    <w:p w14:paraId="2ED6B28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相应资质的单位进行监测。</w:t>
      </w:r>
    </w:p>
    <w:p w14:paraId="0CC5383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（8）对于按照规定需要验收的危大工程，施工单位、监理单位应当组织相关人员进行验收。验收合格的，经施工单位项目技术负责人及总监理工程师签字确认后，方可进入下一道工序。</w:t>
      </w:r>
    </w:p>
    <w:p w14:paraId="005B9D6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（9）危大工程发生险情或者事故时，施工单位应当立即采取应急处置措施，并报告工程所在地住房城乡建设主管部门。建设、勘察、设计、监理等单位应当配合施工单位开展应急抢险工作。</w:t>
      </w:r>
    </w:p>
    <w:p w14:paraId="268D033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（10）危大工程应急抢险结束后，建设单位应当组织勘察、设计、施工、监理等单位制定工程恢复方案，并对应急抢险工作进行后评估。</w:t>
      </w:r>
    </w:p>
    <w:p w14:paraId="3FC4E8C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（11）施工、监理单位应当建立危大工程安全管理档案。</w:t>
      </w:r>
    </w:p>
    <w:p w14:paraId="69095F48">
      <w:pPr>
        <w:pStyle w:val="35"/>
        <w:keepNext w:val="0"/>
        <w:keepLines w:val="0"/>
        <w:pageBreakBefore w:val="0"/>
        <w:widowControl w:val="0"/>
        <w:numPr>
          <w:ilvl w:val="0"/>
          <w:numId w:val="0"/>
        </w:numPr>
        <w:kinsoku/>
        <w:wordWrap/>
        <w:overflowPunct/>
        <w:topLinePunct w:val="0"/>
        <w:autoSpaceDE/>
        <w:autoSpaceDN/>
        <w:bidi w:val="0"/>
        <w:adjustRightInd w:val="0"/>
        <w:snapToGrid w:val="0"/>
        <w:ind w:left="420" w:leftChars="0"/>
        <w:textAlignment w:val="auto"/>
        <w:outlineLvl w:val="2"/>
        <w:rPr>
          <w:rFonts w:hint="eastAsia" w:ascii="仿宋" w:hAnsi="仿宋" w:eastAsia="仿宋" w:cs="仿宋"/>
          <w:b/>
          <w:color w:val="auto"/>
          <w:szCs w:val="28"/>
          <w:highlight w:val="none"/>
          <w:lang w:val="en-US" w:eastAsia="zh-CN"/>
        </w:rPr>
      </w:pPr>
      <w:r>
        <w:rPr>
          <w:rFonts w:hint="eastAsia" w:ascii="仿宋" w:hAnsi="仿宋" w:eastAsia="仿宋" w:cs="仿宋"/>
          <w:b/>
          <w:color w:val="auto"/>
          <w:szCs w:val="28"/>
          <w:highlight w:val="none"/>
          <w:lang w:val="en-US" w:eastAsia="zh-CN"/>
        </w:rPr>
        <w:t>7.14.4 施工建议</w:t>
      </w:r>
    </w:p>
    <w:p w14:paraId="2DC0E99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（1）设计采用动态设计法，施工采用信息法施工。承包商进场后应对地质情况进行必要的复勘，若发现与工程地质详勘不符，应及时同业主、设计、监理及地勘单位以确定进一步解决方案。</w:t>
      </w:r>
    </w:p>
    <w:p w14:paraId="4D88E5E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为了保证基坑和边坡的安全，各相关方需通力合作，采取有效的维护及应急措施，当测量指标超限时，应立即停止基坑和边坡开挖作业，并立即通知业主、监理、设计及质检单位，提供所有相关资料给有关人员或部门，认真仔细分析与查找原因，提出对策，采取可靠措施后方可继续施工，不可擅自处理或隐瞒不报。</w:t>
      </w:r>
    </w:p>
    <w:p w14:paraId="36D05D5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（3）施工中建议采取以下预防措施防止基坑和边坡纵向滑坡：严格控制开挖坡度；必要时设置临时挡护结构物进行基槽加固，同时禁止坡顶堆载。</w:t>
      </w:r>
    </w:p>
    <w:p w14:paraId="3FD431E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在开挖前和开挖过程中均采取具有针对性的降水措施，保证该层土中降水效果；暴雨来临前所有的边坡应铺设塑料膜防止暴雨冲刷，同时在坡脚设置大功率水泵抽水，防止坡脚浸水；如遇到特殊情况需要基坑停工较长时间，应在坡脚位置设置排水明沟和集水坑，并排专人值守，必要时对基坑边坡面进行喷射素混凝土处理；在进度允许的条件下，尽量减少开挖工作面的形式，避免暴露太多的工作面。</w:t>
      </w:r>
    </w:p>
    <w:p w14:paraId="3F94F99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（5）雨季施工时，应准备充足的排水设备，以便大雨时及雨后及时抽排基坑积水，避免浸泡；同时加强对周边支护结构的监控量测及现场巡查。确保工程安全和设备的正常运转。</w:t>
      </w:r>
    </w:p>
    <w:p w14:paraId="0694C0F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（6）施工过程中施工人员必须穿戴好防护用品，戴好安全帽，基槽开挖时，禁止站在基槽边上和槽底靠近槽壁处，边上应有其他人监督安全。</w:t>
      </w:r>
    </w:p>
    <w:p w14:paraId="73D18A7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（7）在建构筑物附近3m区域应该采取人工开挖施工，施工完成后应及时对返挖区进行处理、回填。</w:t>
      </w:r>
    </w:p>
    <w:p w14:paraId="0D1F655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（8）夜间施工时，应有足够的照明设备非施工人员严禁进入施工现场。</w:t>
      </w:r>
    </w:p>
    <w:p w14:paraId="126A32F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（9）施工过程中加强施工监测,特别是现状陡坡的稳定性监测。</w:t>
      </w:r>
    </w:p>
    <w:p w14:paraId="5A97A57F">
      <w:pPr>
        <w:pStyle w:val="35"/>
        <w:numPr>
          <w:ilvl w:val="0"/>
          <w:numId w:val="1"/>
        </w:numPr>
        <w:adjustRightInd w:val="0"/>
        <w:snapToGrid w:val="0"/>
        <w:ind w:firstLineChars="0"/>
        <w:outlineLvl w:val="0"/>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lang w:eastAsia="zh-CN"/>
        </w:rPr>
        <w:t>施工便道设计</w:t>
      </w:r>
    </w:p>
    <w:p w14:paraId="5E885BAB">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lang w:val="en-US" w:eastAsia="zh-CN"/>
        </w:rPr>
        <w:t>8</w:t>
      </w:r>
      <w:r>
        <w:rPr>
          <w:rFonts w:hint="eastAsia" w:ascii="仿宋" w:hAnsi="仿宋" w:eastAsia="仿宋" w:cs="仿宋"/>
          <w:b/>
          <w:color w:val="auto"/>
          <w:szCs w:val="28"/>
          <w:highlight w:val="none"/>
        </w:rPr>
        <w:t>.1设计内容</w:t>
      </w:r>
    </w:p>
    <w:p w14:paraId="34EBD0B3">
      <w:pPr>
        <w:ind w:firstLine="560"/>
        <w:rPr>
          <w:rFonts w:hint="eastAsia" w:ascii="仿宋" w:hAnsi="仿宋" w:eastAsia="仿宋" w:cs="仿宋"/>
          <w:color w:val="auto"/>
          <w:szCs w:val="28"/>
          <w:highlight w:val="none"/>
        </w:rPr>
      </w:pPr>
      <w:r>
        <w:rPr>
          <w:rFonts w:hint="eastAsia" w:ascii="仿宋" w:hAnsi="仿宋" w:eastAsia="仿宋" w:cs="仿宋"/>
          <w:color w:val="auto"/>
          <w:highlight w:val="none"/>
        </w:rPr>
        <w:t>本项目为经开区茶园大道以南片区污水管网改造工程（建工学院东站校区段），拟建d400污水管网155m，d600雨水管网19m，起点始于建工职业学院东入口位置，终点止于茶园大道</w:t>
      </w:r>
      <w:r>
        <w:rPr>
          <w:rFonts w:hint="eastAsia" w:ascii="仿宋" w:hAnsi="仿宋" w:eastAsia="仿宋" w:cs="仿宋"/>
          <w:color w:val="auto"/>
          <w:szCs w:val="28"/>
          <w:highlight w:val="none"/>
        </w:rPr>
        <w:t>。本项目拟建场地为</w:t>
      </w:r>
      <w:r>
        <w:rPr>
          <w:rFonts w:hint="eastAsia" w:ascii="仿宋" w:hAnsi="仿宋" w:eastAsia="仿宋" w:cs="仿宋"/>
          <w:color w:val="auto"/>
          <w:szCs w:val="28"/>
          <w:highlight w:val="none"/>
          <w:lang w:eastAsia="zh-CN"/>
        </w:rPr>
        <w:t>现状村道和部分</w:t>
      </w:r>
      <w:r>
        <w:rPr>
          <w:rFonts w:hint="eastAsia" w:ascii="仿宋" w:hAnsi="仿宋" w:eastAsia="仿宋" w:cs="仿宋"/>
          <w:color w:val="auto"/>
          <w:szCs w:val="28"/>
          <w:highlight w:val="none"/>
        </w:rPr>
        <w:t>原始地貌。为保证本项目的顺利实施，需修建一条进场施工便道。施工便道修建之前需对便道范围内的10KV电杆进行迁改，以及做好路口部分的管网保护及迁改工作。</w:t>
      </w:r>
    </w:p>
    <w:p w14:paraId="43294EF5">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拟建施工便道呈西东走向，起点与建工学院西入口平交,终点与茶园大道辅道平交，设计速度15km/h,道路等级为四级公路（Ⅱ类），道路全长</w:t>
      </w:r>
      <w:r>
        <w:rPr>
          <w:rFonts w:hint="eastAsia" w:ascii="仿宋" w:hAnsi="仿宋" w:eastAsia="仿宋" w:cs="仿宋"/>
          <w:color w:val="auto"/>
          <w:szCs w:val="28"/>
          <w:highlight w:val="none"/>
          <w:lang w:val="en-US" w:eastAsia="zh-CN"/>
        </w:rPr>
        <w:t>319.687</w:t>
      </w:r>
      <w:r>
        <w:rPr>
          <w:rFonts w:hint="eastAsia" w:ascii="仿宋" w:hAnsi="仿宋" w:eastAsia="仿宋" w:cs="仿宋"/>
          <w:color w:val="auto"/>
          <w:szCs w:val="28"/>
          <w:highlight w:val="none"/>
        </w:rPr>
        <w:t>m,单车道，标准路幅宽度为5m。</w:t>
      </w:r>
    </w:p>
    <w:p w14:paraId="43493FBB">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lang w:val="en-US" w:eastAsia="zh-CN"/>
        </w:rPr>
        <w:t>8</w:t>
      </w:r>
      <w:r>
        <w:rPr>
          <w:rFonts w:hint="eastAsia" w:ascii="仿宋" w:hAnsi="仿宋" w:eastAsia="仿宋" w:cs="仿宋"/>
          <w:b/>
          <w:color w:val="auto"/>
          <w:szCs w:val="28"/>
          <w:highlight w:val="none"/>
        </w:rPr>
        <w:t>.2设计依据</w:t>
      </w:r>
    </w:p>
    <w:p w14:paraId="11948669">
      <w:pPr>
        <w:adjustRightInd w:val="0"/>
        <w:ind w:firstLine="562"/>
        <w:contextualSpacing/>
        <w:outlineLvl w:val="2"/>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lang w:val="en-US" w:eastAsia="zh-CN"/>
        </w:rPr>
        <w:t>8</w:t>
      </w:r>
      <w:r>
        <w:rPr>
          <w:rFonts w:hint="eastAsia" w:ascii="仿宋" w:hAnsi="仿宋" w:eastAsia="仿宋" w:cs="仿宋"/>
          <w:b/>
          <w:bCs/>
          <w:color w:val="auto"/>
          <w:szCs w:val="28"/>
          <w:highlight w:val="none"/>
        </w:rPr>
        <w:t>.2.1相关规范、标准</w:t>
      </w:r>
    </w:p>
    <w:p w14:paraId="03183D79">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《公路工程技术标准》（JTG B01-2014）</w:t>
      </w:r>
    </w:p>
    <w:p w14:paraId="5C41302F">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《公路路线设计规范》（JTG D20-2017）</w:t>
      </w:r>
    </w:p>
    <w:p w14:paraId="4E8A532F">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 xml:space="preserve">《公路路基设计规范》（JTG D30-2015） </w:t>
      </w:r>
    </w:p>
    <w:p w14:paraId="0C298F3A">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《公路水泥混凝土路面设计规范》（JTGD40-2011）</w:t>
      </w:r>
    </w:p>
    <w:p w14:paraId="767DDDC4">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《中华人民共和国《工程建设标准强制性条文》（公路工程部分）</w:t>
      </w:r>
    </w:p>
    <w:p w14:paraId="0440B0BC">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《公路工程基本建设项目设计文件编制办法》（中华人民共和国交通部）</w:t>
      </w:r>
    </w:p>
    <w:p w14:paraId="12D04FA2">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《重庆市农村公路建设管理办法》（渝交委法[2011]24号）</w:t>
      </w:r>
    </w:p>
    <w:p w14:paraId="2283921B">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《小交通量农村公路工程技术标准》（JTG2111-2021）</w:t>
      </w:r>
    </w:p>
    <w:p w14:paraId="668EC6DE">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《公路安全生命防护工程实施技术指南》（中华人民共和国交通部）</w:t>
      </w:r>
    </w:p>
    <w:p w14:paraId="74EE64D2">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《重庆市通组公路管理办法》</w:t>
      </w:r>
    </w:p>
    <w:p w14:paraId="13488F15">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《重庆市农村通组公路验收指南》</w:t>
      </w:r>
    </w:p>
    <w:p w14:paraId="5D7870A3">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《道路交通标志和标线》（GB 5768-2009）</w:t>
      </w:r>
    </w:p>
    <w:p w14:paraId="1C8256F1">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《公路交通安全设施设计规范》（JTG D81-2017）</w:t>
      </w:r>
    </w:p>
    <w:p w14:paraId="3B565398">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《公路交通安全设施设计细则》（JTG/T D81-2017）</w:t>
      </w:r>
    </w:p>
    <w:p w14:paraId="13F4B7BD">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《公路交通安全设施施工技术规范》（JTG/T 3671-2021）</w:t>
      </w:r>
    </w:p>
    <w:p w14:paraId="5C2A241F">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《重庆市道路交通安全设施建设和管理规定》</w:t>
      </w:r>
    </w:p>
    <w:p w14:paraId="778045DE">
      <w:pPr>
        <w:adjustRightInd w:val="0"/>
        <w:ind w:firstLine="562"/>
        <w:contextualSpacing/>
        <w:outlineLvl w:val="2"/>
        <w:rPr>
          <w:rFonts w:hint="eastAsia" w:ascii="仿宋" w:hAnsi="仿宋" w:eastAsia="仿宋" w:cs="仿宋"/>
          <w:b/>
          <w:bCs/>
          <w:color w:val="auto"/>
          <w:szCs w:val="28"/>
          <w:highlight w:val="none"/>
          <w:lang w:eastAsia="zh-CN"/>
        </w:rPr>
      </w:pPr>
      <w:r>
        <w:rPr>
          <w:rFonts w:hint="eastAsia" w:ascii="仿宋" w:hAnsi="仿宋" w:eastAsia="仿宋" w:cs="仿宋"/>
          <w:b/>
          <w:bCs/>
          <w:color w:val="auto"/>
          <w:szCs w:val="28"/>
          <w:highlight w:val="none"/>
          <w:lang w:val="en-US" w:eastAsia="zh-CN"/>
        </w:rPr>
        <w:t>8</w:t>
      </w:r>
      <w:r>
        <w:rPr>
          <w:rFonts w:hint="eastAsia" w:ascii="仿宋" w:hAnsi="仿宋" w:eastAsia="仿宋" w:cs="仿宋"/>
          <w:b/>
          <w:bCs/>
          <w:color w:val="auto"/>
          <w:szCs w:val="28"/>
          <w:highlight w:val="none"/>
        </w:rPr>
        <w:t>.2.</w:t>
      </w:r>
      <w:r>
        <w:rPr>
          <w:rFonts w:hint="eastAsia" w:ascii="仿宋" w:hAnsi="仿宋" w:eastAsia="仿宋" w:cs="仿宋"/>
          <w:b/>
          <w:bCs/>
          <w:color w:val="auto"/>
          <w:szCs w:val="28"/>
          <w:highlight w:val="none"/>
          <w:lang w:val="en-US" w:eastAsia="zh-CN"/>
        </w:rPr>
        <w:t>2</w:t>
      </w:r>
      <w:r>
        <w:rPr>
          <w:rFonts w:hint="eastAsia" w:ascii="仿宋" w:hAnsi="仿宋" w:eastAsia="仿宋" w:cs="仿宋"/>
          <w:b/>
          <w:bCs/>
          <w:color w:val="auto"/>
          <w:szCs w:val="28"/>
          <w:highlight w:val="none"/>
        </w:rPr>
        <w:t>相关</w:t>
      </w:r>
      <w:r>
        <w:rPr>
          <w:rFonts w:hint="eastAsia" w:ascii="仿宋" w:hAnsi="仿宋" w:eastAsia="仿宋" w:cs="仿宋"/>
          <w:b/>
          <w:bCs/>
          <w:color w:val="auto"/>
          <w:szCs w:val="28"/>
          <w:highlight w:val="none"/>
          <w:lang w:eastAsia="zh-CN"/>
        </w:rPr>
        <w:t>依据</w:t>
      </w:r>
    </w:p>
    <w:p w14:paraId="19DA5202">
      <w:pPr>
        <w:ind w:firstLine="560"/>
        <w:rPr>
          <w:rFonts w:hint="eastAsia" w:ascii="仿宋" w:hAnsi="仿宋" w:eastAsia="仿宋" w:cs="仿宋"/>
          <w:color w:val="auto"/>
          <w:szCs w:val="28"/>
          <w:highlight w:val="none"/>
          <w:lang w:val="en-US" w:eastAsia="zh-CN"/>
        </w:rPr>
      </w:pPr>
      <w:r>
        <w:rPr>
          <w:rFonts w:hint="eastAsia" w:ascii="仿宋" w:hAnsi="仿宋" w:eastAsia="仿宋" w:cs="仿宋"/>
          <w:color w:val="auto"/>
          <w:szCs w:val="28"/>
          <w:highlight w:val="none"/>
          <w:lang w:val="en-US" w:eastAsia="zh-CN"/>
        </w:rPr>
        <w:t>（1）我单位与业主签订的设计合同；</w:t>
      </w:r>
    </w:p>
    <w:p w14:paraId="58C0782B">
      <w:pPr>
        <w:ind w:firstLine="560"/>
        <w:rPr>
          <w:rFonts w:hint="eastAsia" w:ascii="仿宋" w:hAnsi="仿宋" w:eastAsia="仿宋" w:cs="仿宋"/>
          <w:color w:val="auto"/>
          <w:szCs w:val="28"/>
          <w:highlight w:val="none"/>
          <w:lang w:val="en-US" w:eastAsia="zh-CN"/>
        </w:rPr>
      </w:pPr>
      <w:r>
        <w:rPr>
          <w:rFonts w:hint="eastAsia" w:ascii="仿宋" w:hAnsi="仿宋" w:eastAsia="仿宋" w:cs="仿宋"/>
          <w:color w:val="auto"/>
          <w:szCs w:val="28"/>
          <w:highlight w:val="none"/>
          <w:lang w:val="en-US" w:eastAsia="zh-CN"/>
        </w:rPr>
        <w:t>（2）甲方提供的1:500地形图；</w:t>
      </w:r>
    </w:p>
    <w:p w14:paraId="633F7D97">
      <w:pPr>
        <w:ind w:firstLine="560"/>
        <w:rPr>
          <w:rFonts w:hint="eastAsia" w:ascii="仿宋" w:hAnsi="仿宋" w:eastAsia="仿宋" w:cs="仿宋"/>
          <w:color w:val="auto"/>
          <w:szCs w:val="28"/>
          <w:highlight w:val="none"/>
          <w:lang w:val="en-US" w:eastAsia="zh-CN"/>
        </w:rPr>
      </w:pPr>
      <w:r>
        <w:rPr>
          <w:rFonts w:hint="eastAsia" w:ascii="仿宋" w:hAnsi="仿宋" w:eastAsia="仿宋" w:cs="仿宋"/>
          <w:color w:val="auto"/>
          <w:szCs w:val="28"/>
          <w:highlight w:val="none"/>
          <w:lang w:val="en-US" w:eastAsia="zh-CN"/>
        </w:rPr>
        <w:t>（3）现场踏勘资料、地勘资料；</w:t>
      </w:r>
    </w:p>
    <w:p w14:paraId="4211E7C8">
      <w:pPr>
        <w:ind w:firstLine="560"/>
        <w:rPr>
          <w:rFonts w:hint="eastAsia" w:ascii="仿宋" w:hAnsi="仿宋" w:eastAsia="仿宋" w:cs="仿宋"/>
          <w:color w:val="auto"/>
          <w:szCs w:val="28"/>
          <w:highlight w:val="none"/>
          <w:lang w:val="en-US" w:eastAsia="zh-CN"/>
        </w:rPr>
      </w:pPr>
      <w:r>
        <w:rPr>
          <w:rFonts w:hint="eastAsia" w:ascii="仿宋" w:hAnsi="仿宋" w:eastAsia="仿宋" w:cs="仿宋"/>
          <w:color w:val="auto"/>
          <w:szCs w:val="28"/>
          <w:highlight w:val="none"/>
          <w:lang w:val="en-US" w:eastAsia="zh-CN"/>
        </w:rPr>
        <w:t>（4）其它相关资料。</w:t>
      </w:r>
    </w:p>
    <w:p w14:paraId="12AE0C52">
      <w:pPr>
        <w:ind w:firstLine="560"/>
        <w:rPr>
          <w:rFonts w:hint="eastAsia" w:ascii="仿宋" w:hAnsi="仿宋" w:eastAsia="仿宋" w:cs="仿宋"/>
          <w:color w:val="auto"/>
          <w:szCs w:val="28"/>
          <w:highlight w:val="none"/>
          <w:lang w:val="en-US" w:eastAsia="zh-CN"/>
        </w:rPr>
      </w:pPr>
      <w:r>
        <w:rPr>
          <w:rFonts w:hint="eastAsia" w:ascii="仿宋" w:hAnsi="仿宋" w:eastAsia="仿宋" w:cs="仿宋"/>
          <w:color w:val="auto"/>
          <w:szCs w:val="28"/>
          <w:highlight w:val="none"/>
          <w:lang w:val="en-US" w:eastAsia="zh-CN"/>
        </w:rPr>
        <w:t>（5）高边坡专项方案。</w:t>
      </w:r>
    </w:p>
    <w:p w14:paraId="09D2ED54">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lang w:val="en-US" w:eastAsia="zh-CN"/>
        </w:rPr>
        <w:t>8</w:t>
      </w:r>
      <w:r>
        <w:rPr>
          <w:rFonts w:hint="eastAsia" w:ascii="仿宋" w:hAnsi="仿宋" w:eastAsia="仿宋" w:cs="仿宋"/>
          <w:b/>
          <w:color w:val="auto"/>
          <w:szCs w:val="28"/>
          <w:highlight w:val="none"/>
        </w:rPr>
        <w:t>.3平</w:t>
      </w:r>
      <w:r>
        <w:rPr>
          <w:rFonts w:hint="eastAsia" w:ascii="仿宋" w:hAnsi="仿宋" w:eastAsia="仿宋" w:cs="仿宋"/>
          <w:b/>
          <w:color w:val="auto"/>
          <w:szCs w:val="28"/>
          <w:highlight w:val="none"/>
          <w:lang w:eastAsia="zh-CN"/>
        </w:rPr>
        <w:t>面</w:t>
      </w:r>
      <w:r>
        <w:rPr>
          <w:rFonts w:hint="eastAsia" w:ascii="仿宋" w:hAnsi="仿宋" w:eastAsia="仿宋" w:cs="仿宋"/>
          <w:b/>
          <w:color w:val="auto"/>
          <w:szCs w:val="28"/>
          <w:highlight w:val="none"/>
        </w:rPr>
        <w:t>设计</w:t>
      </w:r>
    </w:p>
    <w:p w14:paraId="2547C491">
      <w:pPr>
        <w:pStyle w:val="6"/>
        <w:ind w:firstLine="56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本次设计施工便道呈西东走向，起点与建工学院西入口平交,终点与茶园大道辅道平交，设计速度15km/h,道路等级为四级公路（Ⅱ类），道路全长</w:t>
      </w:r>
      <w:r>
        <w:rPr>
          <w:rFonts w:hint="eastAsia" w:ascii="仿宋" w:hAnsi="仿宋" w:eastAsia="仿宋" w:cs="仿宋"/>
          <w:color w:val="auto"/>
          <w:szCs w:val="28"/>
          <w:highlight w:val="none"/>
          <w:lang w:val="en-US" w:eastAsia="zh-CN"/>
        </w:rPr>
        <w:t>319.687</w:t>
      </w:r>
      <w:r>
        <w:rPr>
          <w:rFonts w:hint="eastAsia" w:ascii="仿宋" w:hAnsi="仿宋" w:eastAsia="仿宋" w:cs="仿宋"/>
          <w:color w:val="auto"/>
          <w:highlight w:val="none"/>
          <w:lang w:val="en-US" w:eastAsia="zh-CN"/>
        </w:rPr>
        <w:t>m,单车道，标准路幅宽度为5m。全线共设置2处圆曲线，圆曲线半径依次为600m,25m。圆曲线最小半径为25m。</w:t>
      </w:r>
    </w:p>
    <w:p w14:paraId="06CAD76D">
      <w:pPr>
        <w:pStyle w:val="6"/>
        <w:ind w:firstLine="56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圆曲线半径小于或等于250m时，应在圆曲线内侧加宽，本次设计采用单侧加宽，加宽值参照采用《小交通量农村公路工程技术标准》JTG2111-2021 进行加宽，在半径为25m的圆曲线路段加宽1.5m;。本次设计圆曲线最大超高按2％执行。</w:t>
      </w:r>
    </w:p>
    <w:p w14:paraId="432FDAC1">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lang w:val="en-US" w:eastAsia="zh-CN"/>
        </w:rPr>
        <w:t>8</w:t>
      </w:r>
      <w:r>
        <w:rPr>
          <w:rFonts w:hint="eastAsia" w:ascii="仿宋" w:hAnsi="仿宋" w:eastAsia="仿宋" w:cs="仿宋"/>
          <w:b/>
          <w:color w:val="auto"/>
          <w:szCs w:val="28"/>
          <w:highlight w:val="none"/>
        </w:rPr>
        <w:t>.</w:t>
      </w:r>
      <w:r>
        <w:rPr>
          <w:rFonts w:hint="eastAsia" w:ascii="仿宋" w:hAnsi="仿宋" w:eastAsia="仿宋" w:cs="仿宋"/>
          <w:b/>
          <w:color w:val="auto"/>
          <w:szCs w:val="28"/>
          <w:highlight w:val="none"/>
          <w:lang w:val="en-US" w:eastAsia="zh-CN"/>
        </w:rPr>
        <w:t>4</w:t>
      </w:r>
      <w:r>
        <w:rPr>
          <w:rFonts w:hint="eastAsia" w:ascii="仿宋" w:hAnsi="仿宋" w:eastAsia="仿宋" w:cs="仿宋"/>
          <w:b/>
          <w:color w:val="auto"/>
          <w:szCs w:val="28"/>
          <w:highlight w:val="none"/>
          <w:lang w:eastAsia="zh-CN"/>
        </w:rPr>
        <w:t>纵断面</w:t>
      </w:r>
      <w:r>
        <w:rPr>
          <w:rFonts w:hint="eastAsia" w:ascii="仿宋" w:hAnsi="仿宋" w:eastAsia="仿宋" w:cs="仿宋"/>
          <w:b/>
          <w:color w:val="auto"/>
          <w:szCs w:val="28"/>
          <w:highlight w:val="none"/>
        </w:rPr>
        <w:t>设计</w:t>
      </w:r>
    </w:p>
    <w:p w14:paraId="5BADB4A2">
      <w:pPr>
        <w:pStyle w:val="21"/>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施工便道全线设置纵面变坡点3个，最大纵坡为11.4%，最小纵坡为0.5%。凸型竖曲线最小半径为250米，凹型竖曲线最小半径为300米。竖曲线最小长度为21m。纵断面各项技术指标均符合《小交通量农村公路工程技术标准》（JTG2111-2021）规范要求。</w:t>
      </w:r>
    </w:p>
    <w:p w14:paraId="4B564794">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lang w:val="en-US" w:eastAsia="zh-CN"/>
        </w:rPr>
        <w:t>8</w:t>
      </w:r>
      <w:r>
        <w:rPr>
          <w:rFonts w:hint="eastAsia" w:ascii="仿宋" w:hAnsi="仿宋" w:eastAsia="仿宋" w:cs="仿宋"/>
          <w:b/>
          <w:color w:val="auto"/>
          <w:szCs w:val="28"/>
          <w:highlight w:val="none"/>
        </w:rPr>
        <w:t>.</w:t>
      </w:r>
      <w:r>
        <w:rPr>
          <w:rFonts w:hint="eastAsia" w:ascii="仿宋" w:hAnsi="仿宋" w:eastAsia="仿宋" w:cs="仿宋"/>
          <w:b/>
          <w:color w:val="auto"/>
          <w:szCs w:val="28"/>
          <w:highlight w:val="none"/>
          <w:lang w:val="en-US" w:eastAsia="zh-CN"/>
        </w:rPr>
        <w:t>5</w:t>
      </w:r>
      <w:r>
        <w:rPr>
          <w:rFonts w:hint="eastAsia" w:ascii="仿宋" w:hAnsi="仿宋" w:eastAsia="仿宋" w:cs="仿宋"/>
          <w:b/>
          <w:color w:val="auto"/>
          <w:szCs w:val="28"/>
          <w:highlight w:val="none"/>
          <w:lang w:eastAsia="zh-CN"/>
        </w:rPr>
        <w:t>横断面</w:t>
      </w:r>
      <w:r>
        <w:rPr>
          <w:rFonts w:hint="eastAsia" w:ascii="仿宋" w:hAnsi="仿宋" w:eastAsia="仿宋" w:cs="仿宋"/>
          <w:b/>
          <w:color w:val="auto"/>
          <w:szCs w:val="28"/>
          <w:highlight w:val="none"/>
        </w:rPr>
        <w:t>设计</w:t>
      </w:r>
    </w:p>
    <w:p w14:paraId="32E2C3F0">
      <w:pPr>
        <w:pStyle w:val="6"/>
        <w:ind w:firstLine="562"/>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标准路幅宽度：5m=0.5m(土路肩硬化)+4m(车行道)+0.5m(土路肩硬化)</w:t>
      </w:r>
    </w:p>
    <w:p w14:paraId="7DC61CBE">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lang w:val="en-US" w:eastAsia="zh-CN"/>
        </w:rPr>
        <w:t>8</w:t>
      </w:r>
      <w:r>
        <w:rPr>
          <w:rFonts w:hint="eastAsia" w:ascii="仿宋" w:hAnsi="仿宋" w:eastAsia="仿宋" w:cs="仿宋"/>
          <w:b/>
          <w:color w:val="auto"/>
          <w:szCs w:val="28"/>
          <w:highlight w:val="none"/>
        </w:rPr>
        <w:t>.</w:t>
      </w:r>
      <w:r>
        <w:rPr>
          <w:rFonts w:hint="eastAsia" w:ascii="仿宋" w:hAnsi="仿宋" w:eastAsia="仿宋" w:cs="仿宋"/>
          <w:b/>
          <w:color w:val="auto"/>
          <w:szCs w:val="28"/>
          <w:highlight w:val="none"/>
          <w:lang w:val="en-US" w:eastAsia="zh-CN"/>
        </w:rPr>
        <w:t>6</w:t>
      </w:r>
      <w:r>
        <w:rPr>
          <w:rFonts w:hint="eastAsia" w:ascii="仿宋" w:hAnsi="仿宋" w:eastAsia="仿宋" w:cs="仿宋"/>
          <w:b/>
          <w:color w:val="auto"/>
          <w:szCs w:val="28"/>
          <w:highlight w:val="none"/>
        </w:rPr>
        <w:t>路面结构设计</w:t>
      </w:r>
    </w:p>
    <w:p w14:paraId="7106EB8A">
      <w:pPr>
        <w:pStyle w:val="21"/>
        <w:ind w:left="0" w:leftChars="0" w:firstLine="560" w:firstLineChars="200"/>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为了提供和保证良好的行驶条件，保证路面的强度、稳定性和耐久性，以及减少交通噪声对环境的影响，结合项目对工期要求的特点，本项目车行道设计采用水泥混凝土路面，本次设计路面设计年限为10年，设计标准轴载：BZZ—100，具体结构层次如下：</w:t>
      </w:r>
    </w:p>
    <w:p w14:paraId="701A30F9">
      <w:pPr>
        <w:pStyle w:val="21"/>
        <w:ind w:left="0" w:leftChars="0" w:firstLine="560" w:firstLineChars="200"/>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（fr≥4.5MPa）C30水泥混凝土200mm</w:t>
      </w:r>
    </w:p>
    <w:p w14:paraId="30678A32">
      <w:pPr>
        <w:pStyle w:val="21"/>
        <w:ind w:left="0" w:leftChars="0" w:firstLine="560" w:firstLineChars="200"/>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 xml:space="preserve">级配碎石垫层厚100mm </w:t>
      </w:r>
    </w:p>
    <w:p w14:paraId="72EDFF3F">
      <w:pPr>
        <w:pStyle w:val="21"/>
        <w:ind w:left="0" w:leftChars="0" w:firstLine="560" w:firstLineChars="200"/>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路基压实</w:t>
      </w:r>
    </w:p>
    <w:p w14:paraId="009D0858">
      <w:pPr>
        <w:pStyle w:val="21"/>
        <w:ind w:left="0" w:leftChars="0" w:firstLine="560" w:firstLineChars="200"/>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路面总厚度300mm</w:t>
      </w:r>
    </w:p>
    <w:p w14:paraId="494845A1">
      <w:pPr>
        <w:pStyle w:val="21"/>
        <w:ind w:left="0" w:leftChars="0" w:firstLine="560" w:firstLineChars="200"/>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水泥混凝土面层需设置对应的纵缝、横缝，并灌入填缝料，填缝材料不得开裂、挤出或缺失：</w:t>
      </w:r>
    </w:p>
    <w:p w14:paraId="2075940D">
      <w:pPr>
        <w:pStyle w:val="21"/>
        <w:ind w:left="0" w:leftChars="0" w:firstLine="560" w:firstLineChars="200"/>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纵向接缝：①一次铺筑宽度小于路面宽度时，应设置纵向施工缝，纵向施工缝采用平缝形式；②一次铺筑宽度大于4.5m时，应设置纵向缩缝，纵向缩缝采用假缝形式。</w:t>
      </w:r>
    </w:p>
    <w:p w14:paraId="7EA13B09">
      <w:pPr>
        <w:pStyle w:val="21"/>
        <w:ind w:left="0" w:leftChars="0" w:firstLine="560" w:firstLineChars="200"/>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横向接缝：①每天施工结束或摊铺中断时间超过30min时，必须设置横向施工缝，其位置应尽可能选在缩缝或胀缝处，设在缩缝处的施工缝，采用加传力杆的平缝形式，设在胀缝处的施工缝，其构造与胀缝相同；②横向缩缝可等间距或变间距布置，采用假缝形式；③与其它道路相交时应设置横向胀缝。</w:t>
      </w:r>
    </w:p>
    <w:p w14:paraId="5378376D">
      <w:pPr>
        <w:pStyle w:val="21"/>
        <w:ind w:left="0" w:leftChars="0" w:firstLine="560" w:firstLineChars="200"/>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水泥混凝土面层缩缝应使用切缝机按设计位置、深度、形状切割而成。</w:t>
      </w:r>
    </w:p>
    <w:p w14:paraId="200CC16E">
      <w:pPr>
        <w:pStyle w:val="21"/>
        <w:ind w:left="0" w:leftChars="0" w:firstLine="560" w:firstLineChars="200"/>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常温施工式填缝料的养生期，低温期宜为24h，高温期宜为10h。加热施工式填缝料的养生期，低温期宜为2h，高温期宜为6h，在灌缝料固化期间应封闭交通。</w:t>
      </w:r>
    </w:p>
    <w:p w14:paraId="0823FEA7">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lang w:val="en-US" w:eastAsia="zh-CN"/>
        </w:rPr>
        <w:t>8</w:t>
      </w:r>
      <w:r>
        <w:rPr>
          <w:rFonts w:hint="eastAsia" w:ascii="仿宋" w:hAnsi="仿宋" w:eastAsia="仿宋" w:cs="仿宋"/>
          <w:b/>
          <w:color w:val="auto"/>
          <w:szCs w:val="28"/>
          <w:highlight w:val="none"/>
        </w:rPr>
        <w:t>.</w:t>
      </w:r>
      <w:r>
        <w:rPr>
          <w:rFonts w:hint="eastAsia" w:ascii="仿宋" w:hAnsi="仿宋" w:eastAsia="仿宋" w:cs="仿宋"/>
          <w:b/>
          <w:color w:val="auto"/>
          <w:szCs w:val="28"/>
          <w:highlight w:val="none"/>
          <w:lang w:val="en-US" w:eastAsia="zh-CN"/>
        </w:rPr>
        <w:t>7</w:t>
      </w:r>
      <w:r>
        <w:rPr>
          <w:rFonts w:hint="eastAsia" w:ascii="仿宋" w:hAnsi="仿宋" w:eastAsia="仿宋" w:cs="仿宋"/>
          <w:b/>
          <w:color w:val="auto"/>
          <w:szCs w:val="28"/>
          <w:highlight w:val="none"/>
        </w:rPr>
        <w:t>路</w:t>
      </w:r>
      <w:r>
        <w:rPr>
          <w:rFonts w:hint="eastAsia" w:ascii="仿宋" w:hAnsi="仿宋" w:eastAsia="仿宋" w:cs="仿宋"/>
          <w:b/>
          <w:color w:val="auto"/>
          <w:szCs w:val="28"/>
          <w:highlight w:val="none"/>
          <w:lang w:eastAsia="zh-CN"/>
        </w:rPr>
        <w:t>基</w:t>
      </w:r>
      <w:r>
        <w:rPr>
          <w:rFonts w:hint="eastAsia" w:ascii="仿宋" w:hAnsi="仿宋" w:eastAsia="仿宋" w:cs="仿宋"/>
          <w:b/>
          <w:color w:val="auto"/>
          <w:szCs w:val="28"/>
          <w:highlight w:val="none"/>
        </w:rPr>
        <w:t>设计</w:t>
      </w:r>
    </w:p>
    <w:p w14:paraId="5CF2C135">
      <w:pPr>
        <w:pStyle w:val="21"/>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（1）填方路基设计</w:t>
      </w:r>
    </w:p>
    <w:p w14:paraId="0F549FE3">
      <w:pPr>
        <w:pStyle w:val="21"/>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道路填方边坡上部8m坡比采用1:1.5，8m～16m为1:1.75，16m以上均为1:2。各级边坡之间留2.0m宽护坡道，设2%～4%的外倾斜坡。填方路基外侧地表水往路基汇集时，在坡脚设排水沟。排水沟布置在距坡脚线5m以内。</w:t>
      </w:r>
    </w:p>
    <w:p w14:paraId="70EE67FF">
      <w:pPr>
        <w:pStyle w:val="21"/>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（2）挖方路基设计</w:t>
      </w:r>
    </w:p>
    <w:p w14:paraId="4D68AB73">
      <w:pPr>
        <w:pStyle w:val="21"/>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根据地勘报告，K0+160~K0+275右侧挖方边坡最上一阶坡比采用1:1.5坡，其余阶段坡比采用1：1坡，并在该路段右侧为管道开挖预留3m开挖平台。K0+275~终点右侧挖挖方边最上一阶坡比采用1:1坡，其余阶段坡比采用1：1坡。K0+155~终点左侧挖方边坡最上一阶坡比采用1:1.5坡，其余阶段坡比采用1：1坡。K0+155~K0+275右侧挖方边坡设置3m宽的碎落台。挖方边坡采用分级放坡，8m一级。两级边坡间设2.0m宽马道。挖方边坡外侧地表水向路基汇集时，在挖方边坡坡顶外5m范围内设截水沟，顺地势通过跌水或急流槽接入涵洞，排出路基范围。</w:t>
      </w:r>
    </w:p>
    <w:p w14:paraId="2CB8A634">
      <w:pPr>
        <w:pStyle w:val="21"/>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在路堑开挖前作好坡顶排水防渗工作。路基开挖必须按设计断面自上而下开挖，不得乱挖、超挖，开挖至路基顶面时应注意预留碾压沉降高度。路基底若有超挖，超挖回填部分应填筑碎石或砂卵石。</w:t>
      </w:r>
    </w:p>
    <w:p w14:paraId="03359092">
      <w:pPr>
        <w:pStyle w:val="21"/>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（3）高填及陡坡路基</w:t>
      </w:r>
    </w:p>
    <w:p w14:paraId="0322EC7C">
      <w:pPr>
        <w:pStyle w:val="6"/>
        <w:ind w:firstLine="562"/>
        <w:rPr>
          <w:rFonts w:ascii="Times New Roman" w:eastAsia="仿宋" w:cs="Times New Roman"/>
          <w:color w:val="auto"/>
          <w:highlight w:val="none"/>
        </w:rPr>
      </w:pPr>
      <w:r>
        <w:rPr>
          <w:rFonts w:hint="eastAsia" w:ascii="仿宋" w:hAnsi="仿宋" w:eastAsia="仿宋" w:cs="仿宋"/>
          <w:color w:val="auto"/>
          <w:kern w:val="2"/>
          <w:sz w:val="28"/>
          <w:szCs w:val="28"/>
          <w:highlight w:val="none"/>
          <w:lang w:val="en-US" w:eastAsia="zh-CN" w:bidi="ar-SA"/>
        </w:rPr>
        <w:t>地面纵坡陡于1：2.5时，为陡坡路段，应将原地面挖成不小于2.0m的台阶，台阶做成向内倾斜2％的反坡，并根据地形、地质条件、边坡高度等进行综合考虑，并进行稳定性计算，以确定加固处理措施。对稳定性不满足设计要求的，主要有两大措施，一是改善基底条件采用土工材料加固处理，二是设置支挡结构物护肩等。对地基承载力不满足设计要求的，根据基底地质情况采用开挖回填碾压或满夯处理。本次设计采用土工格栅进行加固处理。</w:t>
      </w:r>
    </w:p>
    <w:p w14:paraId="21CD2126">
      <w:pPr>
        <w:pStyle w:val="21"/>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（4）路基强夯</w:t>
      </w:r>
    </w:p>
    <w:p w14:paraId="0AAC3A80">
      <w:pPr>
        <w:pStyle w:val="6"/>
        <w:ind w:firstLine="562"/>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勘察场地内回填土分布于道路工程里程K0+055～K0+150段，主要为周边施工近期回填，现状素填土厚度在0m～11.95m，根据钻探揭示，填土呈稍湿、松散～中密，稍密为主，颗粒大小不一，具有湿陷性、易产生不均匀沉降等特性。故为防止道路后期产生沉降,对该区域采用路基强夯的施工措施，但具体还需后期地勘提供相应的技术参数来确定。施工单位进场后，可先对场地进行极限承载力值应通过载荷试验确定，如果填土压实度≥95%，可取消强夯。</w:t>
      </w:r>
    </w:p>
    <w:p w14:paraId="492CC61C">
      <w:pPr>
        <w:pStyle w:val="6"/>
        <w:ind w:firstLine="562"/>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强夯应注意以下事宜：</w:t>
      </w:r>
    </w:p>
    <w:p w14:paraId="038EE065">
      <w:pPr>
        <w:pStyle w:val="6"/>
        <w:ind w:firstLine="562"/>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1)强夯第一遍夯击每单击一次的夯能不得小于6000kN.m，第二遍夯击不得小于3000kN.m，第三遍夯击采用满夯，夯能采用1000kN.m，锤印间彼此搭接，连续夯击。</w:t>
      </w:r>
    </w:p>
    <w:p w14:paraId="0BC7CE4D">
      <w:pPr>
        <w:pStyle w:val="6"/>
        <w:ind w:firstLine="562"/>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2)强夯的最佳含水量宜根据现场试夯确定。</w:t>
      </w:r>
    </w:p>
    <w:p w14:paraId="4B8F498C">
      <w:pPr>
        <w:pStyle w:val="6"/>
        <w:ind w:firstLine="562"/>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3)试夯：取2个20×20m的试夯区，每个夯点夯击次数按照现场试夯得到的夯击次数与夯沉量关系曲线确定，应符合土体竖向位移最大而侧向位移最小的原则。</w:t>
      </w:r>
    </w:p>
    <w:p w14:paraId="087A4E4C">
      <w:pPr>
        <w:pStyle w:val="6"/>
        <w:ind w:firstLine="562"/>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4)强夯时有可能会导致夯坑内积水，宜在夯击点附近设置盲沟将水尽快排出。</w:t>
      </w:r>
    </w:p>
    <w:p w14:paraId="0D6D0753">
      <w:pPr>
        <w:pStyle w:val="6"/>
        <w:ind w:firstLine="562"/>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5)夯锤采用圆形带有气孔的锤，且锤底面积不小于4m</w:t>
      </w:r>
      <w:r>
        <w:rPr>
          <w:rFonts w:hint="eastAsia" w:ascii="仿宋" w:hAnsi="仿宋" w:eastAsia="仿宋" w:cs="仿宋"/>
          <w:color w:val="auto"/>
          <w:kern w:val="2"/>
          <w:sz w:val="28"/>
          <w:szCs w:val="28"/>
          <w:highlight w:val="none"/>
          <w:vertAlign w:val="superscript"/>
          <w:lang w:val="en-US" w:eastAsia="zh-CN" w:bidi="ar-SA"/>
        </w:rPr>
        <w:t>2</w:t>
      </w:r>
      <w:r>
        <w:rPr>
          <w:rFonts w:hint="eastAsia" w:ascii="仿宋" w:hAnsi="仿宋" w:eastAsia="仿宋" w:cs="仿宋"/>
          <w:color w:val="auto"/>
          <w:kern w:val="2"/>
          <w:sz w:val="28"/>
          <w:szCs w:val="28"/>
          <w:highlight w:val="none"/>
          <w:lang w:val="en-US" w:eastAsia="zh-CN" w:bidi="ar-SA"/>
        </w:rPr>
        <w:t>。</w:t>
      </w:r>
    </w:p>
    <w:p w14:paraId="3DFA3159">
      <w:pPr>
        <w:pStyle w:val="6"/>
        <w:ind w:firstLine="562"/>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强夯的最终成果检验以压实度为准，强夯后的压实度应≥95%。压实度检测：每200m2每压实层测4处。</w:t>
      </w:r>
    </w:p>
    <w:p w14:paraId="0B9FA21D">
      <w:pPr>
        <w:pStyle w:val="21"/>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（6）路基排水（临时截排水沟）</w:t>
      </w:r>
    </w:p>
    <w:p w14:paraId="189F0456">
      <w:pPr>
        <w:ind w:firstLine="560"/>
        <w:rPr>
          <w:rFonts w:hint="eastAsia" w:ascii="仿宋" w:hAnsi="仿宋" w:eastAsia="仿宋" w:cs="仿宋"/>
          <w:color w:val="auto"/>
          <w:szCs w:val="28"/>
          <w:highlight w:val="none"/>
          <w:lang w:val="en-US" w:eastAsia="zh-CN"/>
        </w:rPr>
      </w:pPr>
      <w:r>
        <w:rPr>
          <w:rFonts w:hint="eastAsia" w:ascii="仿宋" w:hAnsi="仿宋" w:eastAsia="仿宋" w:cs="仿宋"/>
          <w:color w:val="auto"/>
          <w:szCs w:val="28"/>
          <w:highlight w:val="none"/>
          <w:lang w:val="en-US" w:eastAsia="zh-CN"/>
        </w:rPr>
        <w:t>1）填方路段，结合本项目地形情况，大部分路段可从路基两侧散排，不需设置排水沟；无法散排的路段设置排水沟，排水沟底宽40cm，深40cm的梯形截水沟，采用C20砼。</w:t>
      </w:r>
    </w:p>
    <w:p w14:paraId="2CC0C1F4">
      <w:pPr>
        <w:ind w:firstLine="560"/>
        <w:rPr>
          <w:rFonts w:hint="eastAsia" w:ascii="仿宋" w:hAnsi="仿宋" w:eastAsia="仿宋" w:cs="仿宋"/>
          <w:color w:val="auto"/>
          <w:szCs w:val="28"/>
          <w:highlight w:val="none"/>
          <w:lang w:val="en-US" w:eastAsia="zh-CN"/>
        </w:rPr>
      </w:pPr>
      <w:r>
        <w:rPr>
          <w:rFonts w:hint="eastAsia" w:ascii="仿宋" w:hAnsi="仿宋" w:eastAsia="仿宋" w:cs="仿宋"/>
          <w:color w:val="auto"/>
          <w:szCs w:val="28"/>
          <w:highlight w:val="none"/>
          <w:lang w:val="en-US" w:eastAsia="zh-CN"/>
        </w:rPr>
        <w:t>2）挖方地段，设置底宽40cm，深40cm的矩形边沟，采用C20砼。坡顶设置底宽40cm，深40cm的梯形截水沟，采用C20砼。</w:t>
      </w:r>
    </w:p>
    <w:p w14:paraId="155C108D">
      <w:pPr>
        <w:spacing w:line="360" w:lineRule="auto"/>
        <w:ind w:firstLine="560"/>
        <w:jc w:val="center"/>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边沟设置一栏表</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5222"/>
        <w:gridCol w:w="2264"/>
        <w:gridCol w:w="1492"/>
      </w:tblGrid>
      <w:tr w14:paraId="0BBB3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Align w:val="center"/>
          </w:tcPr>
          <w:p w14:paraId="622BF9E8">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序号</w:t>
            </w:r>
          </w:p>
        </w:tc>
        <w:tc>
          <w:tcPr>
            <w:tcW w:w="0" w:type="auto"/>
            <w:vAlign w:val="center"/>
          </w:tcPr>
          <w:p w14:paraId="122D4F54">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设置位置</w:t>
            </w:r>
          </w:p>
        </w:tc>
        <w:tc>
          <w:tcPr>
            <w:tcW w:w="0" w:type="auto"/>
            <w:vAlign w:val="center"/>
          </w:tcPr>
          <w:p w14:paraId="0C1D7928">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长度(m)</w:t>
            </w:r>
          </w:p>
        </w:tc>
        <w:tc>
          <w:tcPr>
            <w:tcW w:w="0" w:type="auto"/>
            <w:vAlign w:val="center"/>
          </w:tcPr>
          <w:p w14:paraId="085D1820">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备注</w:t>
            </w:r>
          </w:p>
        </w:tc>
      </w:tr>
      <w:tr w14:paraId="62C9F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Align w:val="center"/>
          </w:tcPr>
          <w:p w14:paraId="25C42603">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1</w:t>
            </w:r>
          </w:p>
        </w:tc>
        <w:tc>
          <w:tcPr>
            <w:tcW w:w="0" w:type="auto"/>
            <w:vAlign w:val="center"/>
          </w:tcPr>
          <w:p w14:paraId="78D9BD67">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K0+</w:t>
            </w:r>
            <w:r>
              <w:rPr>
                <w:rFonts w:hint="eastAsia" w:ascii="仿宋" w:hAnsi="仿宋" w:eastAsia="仿宋"/>
                <w:color w:val="auto"/>
                <w:sz w:val="24"/>
                <w:highlight w:val="none"/>
                <w:lang w:val="en-US" w:eastAsia="zh-CN"/>
              </w:rPr>
              <w:t>085</w:t>
            </w:r>
            <w:r>
              <w:rPr>
                <w:rFonts w:hint="eastAsia" w:ascii="仿宋" w:hAnsi="仿宋" w:eastAsia="仿宋"/>
                <w:color w:val="auto"/>
                <w:sz w:val="24"/>
                <w:highlight w:val="none"/>
              </w:rPr>
              <w:t>～K0+</w:t>
            </w:r>
            <w:r>
              <w:rPr>
                <w:rFonts w:hint="eastAsia" w:ascii="仿宋" w:hAnsi="仿宋" w:eastAsia="仿宋"/>
                <w:color w:val="auto"/>
                <w:sz w:val="24"/>
                <w:highlight w:val="none"/>
                <w:lang w:val="en-US" w:eastAsia="zh-CN"/>
              </w:rPr>
              <w:t>195</w:t>
            </w:r>
            <w:r>
              <w:rPr>
                <w:rFonts w:hint="eastAsia" w:ascii="仿宋" w:hAnsi="仿宋" w:eastAsia="仿宋"/>
                <w:color w:val="auto"/>
                <w:sz w:val="24"/>
                <w:highlight w:val="none"/>
              </w:rPr>
              <w:t>右侧</w:t>
            </w:r>
          </w:p>
        </w:tc>
        <w:tc>
          <w:tcPr>
            <w:tcW w:w="0" w:type="auto"/>
            <w:vAlign w:val="center"/>
          </w:tcPr>
          <w:p w14:paraId="4FA17D05">
            <w:pPr>
              <w:pStyle w:val="6"/>
              <w:ind w:firstLine="0" w:firstLineChars="0"/>
              <w:jc w:val="center"/>
              <w:rPr>
                <w:rFonts w:hint="default"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110</w:t>
            </w:r>
          </w:p>
        </w:tc>
        <w:tc>
          <w:tcPr>
            <w:tcW w:w="0" w:type="auto"/>
            <w:vAlign w:val="center"/>
          </w:tcPr>
          <w:p w14:paraId="58A221B9">
            <w:pPr>
              <w:pStyle w:val="6"/>
              <w:ind w:firstLine="0" w:firstLineChars="0"/>
              <w:jc w:val="center"/>
              <w:rPr>
                <w:rFonts w:hint="eastAsia" w:ascii="仿宋" w:hAnsi="仿宋" w:eastAsia="仿宋"/>
                <w:color w:val="auto"/>
                <w:sz w:val="24"/>
                <w:highlight w:val="none"/>
              </w:rPr>
            </w:pPr>
          </w:p>
        </w:tc>
      </w:tr>
      <w:tr w14:paraId="0BB61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Align w:val="center"/>
          </w:tcPr>
          <w:p w14:paraId="3D27BE6B">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2</w:t>
            </w:r>
          </w:p>
        </w:tc>
        <w:tc>
          <w:tcPr>
            <w:tcW w:w="0" w:type="auto"/>
            <w:vAlign w:val="center"/>
          </w:tcPr>
          <w:p w14:paraId="36446FA7">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K0+</w:t>
            </w:r>
            <w:r>
              <w:rPr>
                <w:rFonts w:hint="eastAsia" w:ascii="仿宋" w:hAnsi="仿宋" w:eastAsia="仿宋"/>
                <w:color w:val="auto"/>
                <w:sz w:val="24"/>
                <w:highlight w:val="none"/>
                <w:lang w:val="en-US" w:eastAsia="zh-CN"/>
              </w:rPr>
              <w:t>240</w:t>
            </w:r>
            <w:r>
              <w:rPr>
                <w:rFonts w:hint="eastAsia" w:ascii="仿宋" w:hAnsi="仿宋" w:eastAsia="仿宋"/>
                <w:color w:val="auto"/>
                <w:sz w:val="24"/>
                <w:highlight w:val="none"/>
              </w:rPr>
              <w:t>～K0+</w:t>
            </w:r>
            <w:r>
              <w:rPr>
                <w:rFonts w:hint="eastAsia" w:ascii="仿宋" w:hAnsi="仿宋" w:eastAsia="仿宋"/>
                <w:color w:val="auto"/>
                <w:sz w:val="24"/>
                <w:highlight w:val="none"/>
                <w:lang w:val="en-US" w:eastAsia="zh-CN"/>
              </w:rPr>
              <w:t>310</w:t>
            </w:r>
            <w:r>
              <w:rPr>
                <w:rFonts w:hint="eastAsia" w:ascii="仿宋" w:hAnsi="仿宋" w:eastAsia="仿宋"/>
                <w:color w:val="auto"/>
                <w:sz w:val="24"/>
                <w:highlight w:val="none"/>
              </w:rPr>
              <w:t>右侧</w:t>
            </w:r>
          </w:p>
        </w:tc>
        <w:tc>
          <w:tcPr>
            <w:tcW w:w="0" w:type="auto"/>
            <w:vAlign w:val="center"/>
          </w:tcPr>
          <w:p w14:paraId="6D246B9D">
            <w:pPr>
              <w:pStyle w:val="6"/>
              <w:ind w:firstLine="0" w:firstLineChars="0"/>
              <w:jc w:val="center"/>
              <w:rPr>
                <w:rFonts w:hint="default"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70</w:t>
            </w:r>
          </w:p>
        </w:tc>
        <w:tc>
          <w:tcPr>
            <w:tcW w:w="0" w:type="auto"/>
            <w:vAlign w:val="center"/>
          </w:tcPr>
          <w:p w14:paraId="6E5F369B">
            <w:pPr>
              <w:pStyle w:val="6"/>
              <w:ind w:firstLine="0" w:firstLineChars="0"/>
              <w:jc w:val="center"/>
              <w:rPr>
                <w:rFonts w:hint="eastAsia" w:ascii="仿宋" w:hAnsi="仿宋" w:eastAsia="仿宋"/>
                <w:color w:val="auto"/>
                <w:sz w:val="24"/>
                <w:highlight w:val="none"/>
              </w:rPr>
            </w:pPr>
          </w:p>
        </w:tc>
      </w:tr>
      <w:tr w14:paraId="761D3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Align w:val="center"/>
          </w:tcPr>
          <w:p w14:paraId="3C79DF0E">
            <w:pPr>
              <w:pStyle w:val="6"/>
              <w:ind w:firstLine="0" w:firstLineChars="0"/>
              <w:jc w:val="center"/>
              <w:rPr>
                <w:rFonts w:hint="eastAsia"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3</w:t>
            </w:r>
          </w:p>
        </w:tc>
        <w:tc>
          <w:tcPr>
            <w:tcW w:w="0" w:type="auto"/>
            <w:vAlign w:val="center"/>
          </w:tcPr>
          <w:p w14:paraId="7F58A0D8">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K0+</w:t>
            </w:r>
            <w:r>
              <w:rPr>
                <w:rFonts w:hint="eastAsia" w:ascii="仿宋" w:hAnsi="仿宋" w:eastAsia="仿宋"/>
                <w:color w:val="auto"/>
                <w:sz w:val="24"/>
                <w:highlight w:val="none"/>
                <w:lang w:val="en-US" w:eastAsia="zh-CN"/>
              </w:rPr>
              <w:t>135</w:t>
            </w:r>
            <w:r>
              <w:rPr>
                <w:rFonts w:hint="eastAsia" w:ascii="仿宋" w:hAnsi="仿宋" w:eastAsia="仿宋"/>
                <w:color w:val="auto"/>
                <w:sz w:val="24"/>
                <w:highlight w:val="none"/>
              </w:rPr>
              <w:t>～K0+</w:t>
            </w:r>
            <w:r>
              <w:rPr>
                <w:rFonts w:hint="eastAsia" w:ascii="仿宋" w:hAnsi="仿宋" w:eastAsia="仿宋"/>
                <w:color w:val="auto"/>
                <w:sz w:val="24"/>
                <w:highlight w:val="none"/>
                <w:lang w:val="en-US" w:eastAsia="zh-CN"/>
              </w:rPr>
              <w:t>204</w:t>
            </w:r>
            <w:r>
              <w:rPr>
                <w:rFonts w:hint="eastAsia" w:ascii="仿宋" w:hAnsi="仿宋" w:eastAsia="仿宋"/>
                <w:color w:val="auto"/>
                <w:sz w:val="24"/>
                <w:highlight w:val="none"/>
                <w:lang w:eastAsia="zh-CN"/>
              </w:rPr>
              <w:t>左</w:t>
            </w:r>
            <w:r>
              <w:rPr>
                <w:rFonts w:hint="eastAsia" w:ascii="仿宋" w:hAnsi="仿宋" w:eastAsia="仿宋"/>
                <w:color w:val="auto"/>
                <w:sz w:val="24"/>
                <w:highlight w:val="none"/>
              </w:rPr>
              <w:t>侧</w:t>
            </w:r>
          </w:p>
        </w:tc>
        <w:tc>
          <w:tcPr>
            <w:tcW w:w="0" w:type="auto"/>
            <w:vAlign w:val="center"/>
          </w:tcPr>
          <w:p w14:paraId="731F6BE3">
            <w:pPr>
              <w:pStyle w:val="6"/>
              <w:ind w:firstLine="0" w:firstLineChars="0"/>
              <w:jc w:val="center"/>
              <w:rPr>
                <w:rFonts w:hint="default"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69</w:t>
            </w:r>
          </w:p>
        </w:tc>
        <w:tc>
          <w:tcPr>
            <w:tcW w:w="0" w:type="auto"/>
            <w:vAlign w:val="center"/>
          </w:tcPr>
          <w:p w14:paraId="7B3124BF">
            <w:pPr>
              <w:pStyle w:val="6"/>
              <w:ind w:firstLine="0" w:firstLineChars="0"/>
              <w:jc w:val="center"/>
              <w:rPr>
                <w:rFonts w:hint="eastAsia" w:ascii="仿宋" w:hAnsi="仿宋" w:eastAsia="仿宋"/>
                <w:color w:val="auto"/>
                <w:sz w:val="24"/>
                <w:highlight w:val="none"/>
              </w:rPr>
            </w:pPr>
          </w:p>
        </w:tc>
      </w:tr>
      <w:tr w14:paraId="4F346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Align w:val="center"/>
          </w:tcPr>
          <w:p w14:paraId="407F0793">
            <w:pPr>
              <w:pStyle w:val="6"/>
              <w:ind w:firstLine="0" w:firstLineChars="0"/>
              <w:jc w:val="center"/>
              <w:rPr>
                <w:rFonts w:hint="default"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4</w:t>
            </w:r>
          </w:p>
        </w:tc>
        <w:tc>
          <w:tcPr>
            <w:tcW w:w="0" w:type="auto"/>
            <w:shd w:val="clear" w:color="auto" w:fill="auto"/>
            <w:vAlign w:val="center"/>
          </w:tcPr>
          <w:p w14:paraId="39F523A6">
            <w:pPr>
              <w:pStyle w:val="6"/>
              <w:ind w:firstLine="0" w:firstLineChars="0"/>
              <w:jc w:val="center"/>
              <w:rPr>
                <w:rFonts w:hint="eastAsia" w:ascii="仿宋" w:hAnsi="仿宋" w:eastAsia="仿宋" w:cs="Arial Unicode MS"/>
                <w:color w:val="auto"/>
                <w:kern w:val="0"/>
                <w:sz w:val="24"/>
                <w:szCs w:val="28"/>
                <w:highlight w:val="none"/>
                <w:lang w:val="en-US" w:eastAsia="zh-CN" w:bidi="ar-SA"/>
              </w:rPr>
            </w:pPr>
            <w:r>
              <w:rPr>
                <w:rFonts w:hint="eastAsia" w:ascii="仿宋" w:hAnsi="仿宋" w:eastAsia="仿宋"/>
                <w:color w:val="auto"/>
                <w:sz w:val="24"/>
                <w:highlight w:val="none"/>
              </w:rPr>
              <w:t>K0+</w:t>
            </w:r>
            <w:r>
              <w:rPr>
                <w:rFonts w:hint="eastAsia" w:ascii="仿宋" w:hAnsi="仿宋" w:eastAsia="仿宋"/>
                <w:color w:val="auto"/>
                <w:sz w:val="24"/>
                <w:highlight w:val="none"/>
                <w:lang w:val="en-US" w:eastAsia="zh-CN"/>
              </w:rPr>
              <w:t>245</w:t>
            </w:r>
            <w:r>
              <w:rPr>
                <w:rFonts w:hint="eastAsia" w:ascii="仿宋" w:hAnsi="仿宋" w:eastAsia="仿宋"/>
                <w:color w:val="auto"/>
                <w:sz w:val="24"/>
                <w:highlight w:val="none"/>
              </w:rPr>
              <w:t>～K0+</w:t>
            </w:r>
            <w:r>
              <w:rPr>
                <w:rFonts w:hint="eastAsia" w:ascii="仿宋" w:hAnsi="仿宋" w:eastAsia="仿宋"/>
                <w:color w:val="auto"/>
                <w:sz w:val="24"/>
                <w:highlight w:val="none"/>
                <w:lang w:val="en-US" w:eastAsia="zh-CN"/>
              </w:rPr>
              <w:t>320</w:t>
            </w:r>
            <w:r>
              <w:rPr>
                <w:rFonts w:hint="eastAsia" w:ascii="仿宋" w:hAnsi="仿宋" w:eastAsia="仿宋"/>
                <w:color w:val="auto"/>
                <w:sz w:val="24"/>
                <w:highlight w:val="none"/>
                <w:lang w:eastAsia="zh-CN"/>
              </w:rPr>
              <w:t>左</w:t>
            </w:r>
            <w:r>
              <w:rPr>
                <w:rFonts w:hint="eastAsia" w:ascii="仿宋" w:hAnsi="仿宋" w:eastAsia="仿宋"/>
                <w:color w:val="auto"/>
                <w:sz w:val="24"/>
                <w:highlight w:val="none"/>
              </w:rPr>
              <w:t>侧</w:t>
            </w:r>
          </w:p>
        </w:tc>
        <w:tc>
          <w:tcPr>
            <w:tcW w:w="0" w:type="auto"/>
            <w:shd w:val="clear" w:color="auto" w:fill="auto"/>
            <w:vAlign w:val="center"/>
          </w:tcPr>
          <w:p w14:paraId="3A6C79CF">
            <w:pPr>
              <w:pStyle w:val="6"/>
              <w:ind w:firstLine="0" w:firstLineChars="0"/>
              <w:jc w:val="center"/>
              <w:rPr>
                <w:rFonts w:hint="default" w:ascii="仿宋" w:hAnsi="仿宋" w:eastAsia="仿宋" w:cs="Arial Unicode MS"/>
                <w:color w:val="auto"/>
                <w:kern w:val="0"/>
                <w:sz w:val="24"/>
                <w:szCs w:val="28"/>
                <w:highlight w:val="none"/>
                <w:lang w:val="en-US" w:eastAsia="zh-CN" w:bidi="ar-SA"/>
              </w:rPr>
            </w:pPr>
            <w:r>
              <w:rPr>
                <w:rFonts w:hint="eastAsia" w:ascii="仿宋" w:hAnsi="仿宋" w:eastAsia="仿宋"/>
                <w:color w:val="auto"/>
                <w:sz w:val="24"/>
                <w:highlight w:val="none"/>
                <w:lang w:val="en-US" w:eastAsia="zh-CN"/>
              </w:rPr>
              <w:t>75</w:t>
            </w:r>
          </w:p>
        </w:tc>
        <w:tc>
          <w:tcPr>
            <w:tcW w:w="0" w:type="auto"/>
            <w:vAlign w:val="center"/>
          </w:tcPr>
          <w:p w14:paraId="43590463">
            <w:pPr>
              <w:pStyle w:val="6"/>
              <w:ind w:firstLine="0" w:firstLineChars="0"/>
              <w:jc w:val="center"/>
              <w:rPr>
                <w:rFonts w:hint="eastAsia" w:ascii="仿宋" w:hAnsi="仿宋" w:eastAsia="仿宋"/>
                <w:color w:val="auto"/>
                <w:sz w:val="24"/>
                <w:highlight w:val="none"/>
              </w:rPr>
            </w:pPr>
          </w:p>
        </w:tc>
      </w:tr>
      <w:tr w14:paraId="4F5B3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2"/>
            <w:shd w:val="clear" w:color="auto" w:fill="auto"/>
            <w:vAlign w:val="center"/>
          </w:tcPr>
          <w:p w14:paraId="076D0215">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合计</w:t>
            </w:r>
          </w:p>
        </w:tc>
        <w:tc>
          <w:tcPr>
            <w:tcW w:w="0" w:type="auto"/>
            <w:shd w:val="clear" w:color="auto" w:fill="auto"/>
            <w:vAlign w:val="center"/>
          </w:tcPr>
          <w:p w14:paraId="7FB4B7EF">
            <w:pPr>
              <w:pStyle w:val="6"/>
              <w:ind w:firstLine="0" w:firstLineChars="0"/>
              <w:jc w:val="center"/>
              <w:rPr>
                <w:rFonts w:hint="default"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324</w:t>
            </w:r>
          </w:p>
        </w:tc>
        <w:tc>
          <w:tcPr>
            <w:tcW w:w="0" w:type="auto"/>
            <w:shd w:val="clear" w:color="auto" w:fill="auto"/>
            <w:vAlign w:val="center"/>
          </w:tcPr>
          <w:p w14:paraId="58702457">
            <w:pPr>
              <w:pStyle w:val="6"/>
              <w:ind w:firstLine="0" w:firstLineChars="0"/>
              <w:jc w:val="center"/>
              <w:rPr>
                <w:rFonts w:hint="eastAsia" w:ascii="仿宋" w:hAnsi="仿宋" w:eastAsia="仿宋"/>
                <w:color w:val="auto"/>
                <w:sz w:val="24"/>
                <w:highlight w:val="none"/>
              </w:rPr>
            </w:pPr>
          </w:p>
        </w:tc>
      </w:tr>
    </w:tbl>
    <w:p w14:paraId="06170EFE">
      <w:pPr>
        <w:spacing w:line="360" w:lineRule="auto"/>
        <w:ind w:firstLine="560"/>
        <w:jc w:val="center"/>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排水沟设置一栏表</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5222"/>
        <w:gridCol w:w="2264"/>
        <w:gridCol w:w="1492"/>
      </w:tblGrid>
      <w:tr w14:paraId="203A7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Align w:val="center"/>
          </w:tcPr>
          <w:p w14:paraId="219470AE">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序号</w:t>
            </w:r>
          </w:p>
        </w:tc>
        <w:tc>
          <w:tcPr>
            <w:tcW w:w="0" w:type="auto"/>
            <w:vAlign w:val="center"/>
          </w:tcPr>
          <w:p w14:paraId="21D79329">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设置位置</w:t>
            </w:r>
          </w:p>
        </w:tc>
        <w:tc>
          <w:tcPr>
            <w:tcW w:w="0" w:type="auto"/>
            <w:vAlign w:val="center"/>
          </w:tcPr>
          <w:p w14:paraId="011F5E87">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长度(m)</w:t>
            </w:r>
          </w:p>
        </w:tc>
        <w:tc>
          <w:tcPr>
            <w:tcW w:w="0" w:type="auto"/>
            <w:vAlign w:val="center"/>
          </w:tcPr>
          <w:p w14:paraId="270B0A1A">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备注</w:t>
            </w:r>
          </w:p>
        </w:tc>
      </w:tr>
      <w:tr w14:paraId="37DF3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Align w:val="center"/>
          </w:tcPr>
          <w:p w14:paraId="6139B794">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1</w:t>
            </w:r>
          </w:p>
        </w:tc>
        <w:tc>
          <w:tcPr>
            <w:tcW w:w="0" w:type="auto"/>
            <w:vAlign w:val="center"/>
          </w:tcPr>
          <w:p w14:paraId="4027E7D1">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K0+</w:t>
            </w:r>
            <w:r>
              <w:rPr>
                <w:rFonts w:hint="eastAsia" w:ascii="仿宋" w:hAnsi="仿宋" w:eastAsia="仿宋"/>
                <w:color w:val="auto"/>
                <w:sz w:val="24"/>
                <w:highlight w:val="none"/>
                <w:lang w:val="en-US" w:eastAsia="zh-CN"/>
              </w:rPr>
              <w:t>000</w:t>
            </w:r>
            <w:r>
              <w:rPr>
                <w:rFonts w:hint="eastAsia" w:ascii="仿宋" w:hAnsi="仿宋" w:eastAsia="仿宋"/>
                <w:color w:val="auto"/>
                <w:sz w:val="24"/>
                <w:highlight w:val="none"/>
              </w:rPr>
              <w:t>～K0+</w:t>
            </w:r>
            <w:r>
              <w:rPr>
                <w:rFonts w:hint="eastAsia" w:ascii="仿宋" w:hAnsi="仿宋" w:eastAsia="仿宋"/>
                <w:color w:val="auto"/>
                <w:sz w:val="24"/>
                <w:highlight w:val="none"/>
                <w:lang w:val="en-US" w:eastAsia="zh-CN"/>
              </w:rPr>
              <w:t>090</w:t>
            </w:r>
            <w:r>
              <w:rPr>
                <w:rFonts w:hint="eastAsia" w:ascii="仿宋" w:hAnsi="仿宋" w:eastAsia="仿宋"/>
                <w:color w:val="auto"/>
                <w:sz w:val="24"/>
                <w:highlight w:val="none"/>
              </w:rPr>
              <w:t>右侧</w:t>
            </w:r>
          </w:p>
        </w:tc>
        <w:tc>
          <w:tcPr>
            <w:tcW w:w="0" w:type="auto"/>
            <w:vAlign w:val="center"/>
          </w:tcPr>
          <w:p w14:paraId="39D5CBC5">
            <w:pPr>
              <w:pStyle w:val="6"/>
              <w:ind w:firstLine="0" w:firstLineChars="0"/>
              <w:jc w:val="center"/>
              <w:rPr>
                <w:rFonts w:hint="default"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90</w:t>
            </w:r>
          </w:p>
        </w:tc>
        <w:tc>
          <w:tcPr>
            <w:tcW w:w="0" w:type="auto"/>
            <w:vAlign w:val="center"/>
          </w:tcPr>
          <w:p w14:paraId="078D3BD8">
            <w:pPr>
              <w:pStyle w:val="6"/>
              <w:ind w:firstLine="0" w:firstLineChars="0"/>
              <w:jc w:val="center"/>
              <w:rPr>
                <w:rFonts w:hint="eastAsia" w:ascii="仿宋" w:hAnsi="仿宋" w:eastAsia="仿宋"/>
                <w:color w:val="auto"/>
                <w:sz w:val="24"/>
                <w:highlight w:val="none"/>
              </w:rPr>
            </w:pPr>
          </w:p>
        </w:tc>
      </w:tr>
      <w:tr w14:paraId="38E91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2"/>
            <w:shd w:val="clear" w:color="auto" w:fill="auto"/>
            <w:vAlign w:val="center"/>
          </w:tcPr>
          <w:p w14:paraId="7573B3FA">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合计</w:t>
            </w:r>
          </w:p>
        </w:tc>
        <w:tc>
          <w:tcPr>
            <w:tcW w:w="0" w:type="auto"/>
            <w:shd w:val="clear" w:color="auto" w:fill="auto"/>
            <w:vAlign w:val="center"/>
          </w:tcPr>
          <w:p w14:paraId="38A5D641">
            <w:pPr>
              <w:pStyle w:val="6"/>
              <w:ind w:firstLine="0" w:firstLineChars="0"/>
              <w:jc w:val="center"/>
              <w:rPr>
                <w:rFonts w:hint="default"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90</w:t>
            </w:r>
          </w:p>
        </w:tc>
        <w:tc>
          <w:tcPr>
            <w:tcW w:w="0" w:type="auto"/>
            <w:shd w:val="clear" w:color="auto" w:fill="auto"/>
            <w:vAlign w:val="center"/>
          </w:tcPr>
          <w:p w14:paraId="264146E6">
            <w:pPr>
              <w:pStyle w:val="6"/>
              <w:ind w:firstLine="0" w:firstLineChars="0"/>
              <w:jc w:val="center"/>
              <w:rPr>
                <w:rFonts w:hint="eastAsia" w:ascii="仿宋" w:hAnsi="仿宋" w:eastAsia="仿宋"/>
                <w:color w:val="auto"/>
                <w:sz w:val="24"/>
                <w:highlight w:val="none"/>
              </w:rPr>
            </w:pPr>
          </w:p>
        </w:tc>
      </w:tr>
    </w:tbl>
    <w:p w14:paraId="1A307E97">
      <w:pPr>
        <w:spacing w:line="360" w:lineRule="auto"/>
        <w:ind w:firstLine="560"/>
        <w:jc w:val="center"/>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截水沟设置一栏表</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2"/>
        <w:gridCol w:w="5221"/>
        <w:gridCol w:w="2264"/>
        <w:gridCol w:w="1492"/>
      </w:tblGrid>
      <w:tr w14:paraId="1C80C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Align w:val="center"/>
          </w:tcPr>
          <w:p w14:paraId="5FD46AD6">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序号</w:t>
            </w:r>
          </w:p>
        </w:tc>
        <w:tc>
          <w:tcPr>
            <w:tcW w:w="0" w:type="auto"/>
            <w:vAlign w:val="center"/>
          </w:tcPr>
          <w:p w14:paraId="24C195EA">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设置位置</w:t>
            </w:r>
          </w:p>
        </w:tc>
        <w:tc>
          <w:tcPr>
            <w:tcW w:w="0" w:type="auto"/>
            <w:vAlign w:val="center"/>
          </w:tcPr>
          <w:p w14:paraId="0B136E40">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长度(m)</w:t>
            </w:r>
          </w:p>
        </w:tc>
        <w:tc>
          <w:tcPr>
            <w:tcW w:w="0" w:type="auto"/>
            <w:vAlign w:val="center"/>
          </w:tcPr>
          <w:p w14:paraId="3FA02CEA">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备注</w:t>
            </w:r>
          </w:p>
        </w:tc>
      </w:tr>
      <w:tr w14:paraId="0A37C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Align w:val="center"/>
          </w:tcPr>
          <w:p w14:paraId="6AE7801A">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1</w:t>
            </w:r>
          </w:p>
        </w:tc>
        <w:tc>
          <w:tcPr>
            <w:tcW w:w="0" w:type="auto"/>
            <w:vAlign w:val="center"/>
          </w:tcPr>
          <w:p w14:paraId="7E2AF8D8">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K0+100～K0+187右侧</w:t>
            </w:r>
          </w:p>
        </w:tc>
        <w:tc>
          <w:tcPr>
            <w:tcW w:w="0" w:type="auto"/>
            <w:vAlign w:val="center"/>
          </w:tcPr>
          <w:p w14:paraId="50A77178">
            <w:pPr>
              <w:pStyle w:val="6"/>
              <w:ind w:firstLine="0" w:firstLineChars="0"/>
              <w:jc w:val="center"/>
              <w:rPr>
                <w:rFonts w:hint="default"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87</w:t>
            </w:r>
          </w:p>
        </w:tc>
        <w:tc>
          <w:tcPr>
            <w:tcW w:w="0" w:type="auto"/>
            <w:vAlign w:val="center"/>
          </w:tcPr>
          <w:p w14:paraId="0F5D166B">
            <w:pPr>
              <w:pStyle w:val="6"/>
              <w:ind w:firstLine="0" w:firstLineChars="0"/>
              <w:jc w:val="center"/>
              <w:rPr>
                <w:rFonts w:hint="eastAsia" w:ascii="仿宋" w:hAnsi="仿宋" w:eastAsia="仿宋"/>
                <w:color w:val="auto"/>
                <w:sz w:val="24"/>
                <w:highlight w:val="none"/>
              </w:rPr>
            </w:pPr>
          </w:p>
        </w:tc>
      </w:tr>
      <w:tr w14:paraId="1EF46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Align w:val="center"/>
          </w:tcPr>
          <w:p w14:paraId="492A72A1">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2</w:t>
            </w:r>
          </w:p>
        </w:tc>
        <w:tc>
          <w:tcPr>
            <w:tcW w:w="5221" w:type="dxa"/>
            <w:vAlign w:val="center"/>
          </w:tcPr>
          <w:p w14:paraId="0B061DE8">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K0+204～K0+223</w:t>
            </w:r>
            <w:r>
              <w:rPr>
                <w:rFonts w:hint="eastAsia" w:ascii="仿宋" w:hAnsi="仿宋" w:eastAsia="仿宋"/>
                <w:color w:val="auto"/>
                <w:sz w:val="24"/>
                <w:highlight w:val="none"/>
                <w:lang w:eastAsia="zh-CN"/>
              </w:rPr>
              <w:t>左</w:t>
            </w:r>
            <w:r>
              <w:rPr>
                <w:rFonts w:hint="eastAsia" w:ascii="仿宋" w:hAnsi="仿宋" w:eastAsia="仿宋"/>
                <w:color w:val="auto"/>
                <w:sz w:val="24"/>
                <w:highlight w:val="none"/>
              </w:rPr>
              <w:t>侧</w:t>
            </w:r>
          </w:p>
        </w:tc>
        <w:tc>
          <w:tcPr>
            <w:tcW w:w="2264" w:type="dxa"/>
            <w:vAlign w:val="center"/>
          </w:tcPr>
          <w:p w14:paraId="2BD1525B">
            <w:pPr>
              <w:pStyle w:val="6"/>
              <w:ind w:firstLine="0" w:firstLineChars="0"/>
              <w:jc w:val="center"/>
              <w:rPr>
                <w:rFonts w:hint="default"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21</w:t>
            </w:r>
          </w:p>
        </w:tc>
        <w:tc>
          <w:tcPr>
            <w:tcW w:w="0" w:type="auto"/>
            <w:vAlign w:val="center"/>
          </w:tcPr>
          <w:p w14:paraId="5AC19593">
            <w:pPr>
              <w:pStyle w:val="6"/>
              <w:ind w:firstLine="0" w:firstLineChars="0"/>
              <w:jc w:val="center"/>
              <w:rPr>
                <w:rFonts w:hint="eastAsia" w:ascii="仿宋" w:hAnsi="仿宋" w:eastAsia="仿宋"/>
                <w:color w:val="auto"/>
                <w:sz w:val="24"/>
                <w:highlight w:val="none"/>
              </w:rPr>
            </w:pPr>
          </w:p>
        </w:tc>
      </w:tr>
      <w:tr w14:paraId="2D62F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Align w:val="center"/>
          </w:tcPr>
          <w:p w14:paraId="4010C38D">
            <w:pPr>
              <w:pStyle w:val="6"/>
              <w:ind w:firstLine="0" w:firstLineChars="0"/>
              <w:jc w:val="center"/>
              <w:rPr>
                <w:rFonts w:hint="eastAsia"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3</w:t>
            </w:r>
          </w:p>
        </w:tc>
        <w:tc>
          <w:tcPr>
            <w:tcW w:w="5221" w:type="dxa"/>
            <w:vAlign w:val="center"/>
          </w:tcPr>
          <w:p w14:paraId="418E7635">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K0+300～K0+319</w:t>
            </w:r>
            <w:r>
              <w:rPr>
                <w:rFonts w:hint="eastAsia" w:ascii="仿宋" w:hAnsi="仿宋" w:eastAsia="仿宋"/>
                <w:color w:val="auto"/>
                <w:sz w:val="24"/>
                <w:highlight w:val="none"/>
                <w:lang w:eastAsia="zh-CN"/>
              </w:rPr>
              <w:t>左</w:t>
            </w:r>
            <w:r>
              <w:rPr>
                <w:rFonts w:hint="eastAsia" w:ascii="仿宋" w:hAnsi="仿宋" w:eastAsia="仿宋"/>
                <w:color w:val="auto"/>
                <w:sz w:val="24"/>
                <w:highlight w:val="none"/>
              </w:rPr>
              <w:t>侧</w:t>
            </w:r>
          </w:p>
        </w:tc>
        <w:tc>
          <w:tcPr>
            <w:tcW w:w="2264" w:type="dxa"/>
            <w:vAlign w:val="center"/>
          </w:tcPr>
          <w:p w14:paraId="56C83BEA">
            <w:pPr>
              <w:pStyle w:val="6"/>
              <w:ind w:firstLine="0" w:firstLineChars="0"/>
              <w:jc w:val="center"/>
              <w:rPr>
                <w:rFonts w:hint="default"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25</w:t>
            </w:r>
          </w:p>
        </w:tc>
        <w:tc>
          <w:tcPr>
            <w:tcW w:w="0" w:type="auto"/>
            <w:vAlign w:val="center"/>
          </w:tcPr>
          <w:p w14:paraId="48EA6F68">
            <w:pPr>
              <w:pStyle w:val="6"/>
              <w:ind w:firstLine="0" w:firstLineChars="0"/>
              <w:jc w:val="center"/>
              <w:rPr>
                <w:rFonts w:hint="eastAsia" w:ascii="仿宋" w:hAnsi="仿宋" w:eastAsia="仿宋"/>
                <w:color w:val="auto"/>
                <w:sz w:val="24"/>
                <w:highlight w:val="none"/>
              </w:rPr>
            </w:pPr>
          </w:p>
        </w:tc>
      </w:tr>
      <w:tr w14:paraId="63C24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2"/>
            <w:shd w:val="clear" w:color="auto" w:fill="auto"/>
            <w:vAlign w:val="center"/>
          </w:tcPr>
          <w:p w14:paraId="7817F08C">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合计</w:t>
            </w:r>
          </w:p>
        </w:tc>
        <w:tc>
          <w:tcPr>
            <w:tcW w:w="0" w:type="auto"/>
            <w:shd w:val="clear" w:color="auto" w:fill="auto"/>
            <w:vAlign w:val="center"/>
          </w:tcPr>
          <w:p w14:paraId="19175E2A">
            <w:pPr>
              <w:pStyle w:val="6"/>
              <w:ind w:firstLine="0" w:firstLineChars="0"/>
              <w:jc w:val="center"/>
              <w:rPr>
                <w:rFonts w:hint="default"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133</w:t>
            </w:r>
          </w:p>
        </w:tc>
        <w:tc>
          <w:tcPr>
            <w:tcW w:w="0" w:type="auto"/>
            <w:shd w:val="clear" w:color="auto" w:fill="auto"/>
            <w:vAlign w:val="center"/>
          </w:tcPr>
          <w:p w14:paraId="28509F70">
            <w:pPr>
              <w:pStyle w:val="6"/>
              <w:ind w:firstLine="0" w:firstLineChars="0"/>
              <w:jc w:val="center"/>
              <w:rPr>
                <w:rFonts w:hint="eastAsia" w:ascii="仿宋" w:hAnsi="仿宋" w:eastAsia="仿宋"/>
                <w:color w:val="auto"/>
                <w:sz w:val="24"/>
                <w:highlight w:val="none"/>
              </w:rPr>
            </w:pPr>
          </w:p>
        </w:tc>
      </w:tr>
    </w:tbl>
    <w:p w14:paraId="21FC1FB7">
      <w:pPr>
        <w:adjustRightInd w:val="0"/>
        <w:snapToGrid w:val="0"/>
        <w:ind w:firstLine="562"/>
        <w:outlineLvl w:val="1"/>
        <w:rPr>
          <w:rFonts w:hint="eastAsia" w:ascii="仿宋" w:hAnsi="仿宋" w:eastAsia="仿宋" w:cs="仿宋"/>
          <w:b/>
          <w:color w:val="auto"/>
          <w:szCs w:val="28"/>
          <w:highlight w:val="none"/>
        </w:rPr>
      </w:pPr>
      <w:bookmarkStart w:id="81" w:name="_Toc22003"/>
      <w:r>
        <w:rPr>
          <w:rFonts w:hint="eastAsia" w:ascii="仿宋" w:hAnsi="仿宋" w:eastAsia="仿宋" w:cs="仿宋"/>
          <w:b/>
          <w:color w:val="auto"/>
          <w:szCs w:val="28"/>
          <w:highlight w:val="none"/>
          <w:lang w:val="en-US" w:eastAsia="zh-CN"/>
        </w:rPr>
        <w:t>8</w:t>
      </w:r>
      <w:r>
        <w:rPr>
          <w:rFonts w:hint="eastAsia" w:ascii="仿宋" w:hAnsi="仿宋" w:eastAsia="仿宋" w:cs="仿宋"/>
          <w:b/>
          <w:color w:val="auto"/>
          <w:szCs w:val="28"/>
          <w:highlight w:val="none"/>
        </w:rPr>
        <w:t>.</w:t>
      </w:r>
      <w:r>
        <w:rPr>
          <w:rFonts w:hint="eastAsia" w:ascii="仿宋" w:hAnsi="仿宋" w:eastAsia="仿宋" w:cs="仿宋"/>
          <w:b/>
          <w:color w:val="auto"/>
          <w:szCs w:val="28"/>
          <w:highlight w:val="none"/>
          <w:lang w:val="en-US" w:eastAsia="zh-CN"/>
        </w:rPr>
        <w:t>8</w:t>
      </w:r>
      <w:r>
        <w:rPr>
          <w:rFonts w:hint="eastAsia" w:ascii="仿宋" w:hAnsi="仿宋" w:eastAsia="仿宋" w:cs="仿宋"/>
          <w:b/>
          <w:color w:val="auto"/>
          <w:szCs w:val="28"/>
          <w:highlight w:val="none"/>
        </w:rPr>
        <w:t>安全防护设施</w:t>
      </w:r>
      <w:bookmarkEnd w:id="81"/>
    </w:p>
    <w:p w14:paraId="7394A018">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（1）坡顶防护网</w:t>
      </w:r>
    </w:p>
    <w:p w14:paraId="13672992">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为避免坡顶有碎石及其他物体掉落，对行人和车辆造成不利影响，本次设计考虑对挖方边坡高度大于5m的路段，在坡顶上方2m外处设置防护网，保证行人和车辆的安全。</w:t>
      </w:r>
    </w:p>
    <w:p w14:paraId="1CC590B2">
      <w:pPr>
        <w:spacing w:line="360" w:lineRule="auto"/>
        <w:ind w:firstLine="560"/>
        <w:jc w:val="center"/>
        <w:rPr>
          <w:rFonts w:ascii="Times New Roman" w:hAnsi="Times New Roman" w:eastAsia="仿宋" w:cs="Times New Roman"/>
          <w:color w:val="auto"/>
          <w:highlight w:val="none"/>
        </w:rPr>
      </w:pPr>
      <w:r>
        <w:rPr>
          <w:rFonts w:hint="eastAsia" w:ascii="仿宋" w:hAnsi="仿宋" w:eastAsia="仿宋" w:cs="仿宋"/>
          <w:bCs/>
          <w:color w:val="auto"/>
          <w:sz w:val="28"/>
          <w:szCs w:val="28"/>
          <w:highlight w:val="none"/>
        </w:rPr>
        <w:t>坡顶防护网设置一栏表</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5222"/>
        <w:gridCol w:w="2264"/>
        <w:gridCol w:w="1492"/>
      </w:tblGrid>
      <w:tr w14:paraId="25D95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Align w:val="center"/>
          </w:tcPr>
          <w:p w14:paraId="5106E000">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序号</w:t>
            </w:r>
          </w:p>
        </w:tc>
        <w:tc>
          <w:tcPr>
            <w:tcW w:w="0" w:type="auto"/>
            <w:vAlign w:val="center"/>
          </w:tcPr>
          <w:p w14:paraId="20F412AB">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设置位置</w:t>
            </w:r>
          </w:p>
        </w:tc>
        <w:tc>
          <w:tcPr>
            <w:tcW w:w="0" w:type="auto"/>
            <w:vAlign w:val="center"/>
          </w:tcPr>
          <w:p w14:paraId="0D25CB6E">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长度(m)</w:t>
            </w:r>
          </w:p>
        </w:tc>
        <w:tc>
          <w:tcPr>
            <w:tcW w:w="0" w:type="auto"/>
            <w:vAlign w:val="center"/>
          </w:tcPr>
          <w:p w14:paraId="46149758">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备注</w:t>
            </w:r>
          </w:p>
        </w:tc>
      </w:tr>
      <w:tr w14:paraId="5380E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Align w:val="center"/>
          </w:tcPr>
          <w:p w14:paraId="291CA0FF">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1</w:t>
            </w:r>
          </w:p>
        </w:tc>
        <w:tc>
          <w:tcPr>
            <w:tcW w:w="0" w:type="auto"/>
            <w:vAlign w:val="center"/>
          </w:tcPr>
          <w:p w14:paraId="3287EAD4">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K0+090～K0+183右侧</w:t>
            </w:r>
          </w:p>
        </w:tc>
        <w:tc>
          <w:tcPr>
            <w:tcW w:w="0" w:type="auto"/>
            <w:vAlign w:val="center"/>
          </w:tcPr>
          <w:p w14:paraId="2F72056B">
            <w:pPr>
              <w:pStyle w:val="6"/>
              <w:ind w:firstLine="0" w:firstLineChars="0"/>
              <w:jc w:val="center"/>
              <w:rPr>
                <w:rFonts w:hint="default"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93</w:t>
            </w:r>
          </w:p>
        </w:tc>
        <w:tc>
          <w:tcPr>
            <w:tcW w:w="0" w:type="auto"/>
            <w:vAlign w:val="center"/>
          </w:tcPr>
          <w:p w14:paraId="4F3A9135">
            <w:pPr>
              <w:pStyle w:val="6"/>
              <w:ind w:firstLine="0" w:firstLineChars="0"/>
              <w:jc w:val="center"/>
              <w:rPr>
                <w:rFonts w:hint="eastAsia" w:ascii="仿宋" w:hAnsi="仿宋" w:eastAsia="仿宋"/>
                <w:color w:val="auto"/>
                <w:sz w:val="24"/>
                <w:highlight w:val="none"/>
              </w:rPr>
            </w:pPr>
          </w:p>
        </w:tc>
      </w:tr>
      <w:tr w14:paraId="5DB22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Align w:val="center"/>
          </w:tcPr>
          <w:p w14:paraId="06CEDA4D">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2</w:t>
            </w:r>
          </w:p>
        </w:tc>
        <w:tc>
          <w:tcPr>
            <w:tcW w:w="0" w:type="auto"/>
            <w:vAlign w:val="center"/>
          </w:tcPr>
          <w:p w14:paraId="58AE1B93">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K0+240～K0+280</w:t>
            </w:r>
            <w:r>
              <w:rPr>
                <w:rFonts w:hint="eastAsia" w:ascii="仿宋" w:hAnsi="仿宋" w:eastAsia="仿宋"/>
                <w:color w:val="auto"/>
                <w:sz w:val="24"/>
                <w:highlight w:val="none"/>
                <w:lang w:eastAsia="zh-CN"/>
              </w:rPr>
              <w:t>左</w:t>
            </w:r>
            <w:r>
              <w:rPr>
                <w:rFonts w:hint="eastAsia" w:ascii="仿宋" w:hAnsi="仿宋" w:eastAsia="仿宋"/>
                <w:color w:val="auto"/>
                <w:sz w:val="24"/>
                <w:highlight w:val="none"/>
              </w:rPr>
              <w:t>侧</w:t>
            </w:r>
          </w:p>
        </w:tc>
        <w:tc>
          <w:tcPr>
            <w:tcW w:w="0" w:type="auto"/>
            <w:vAlign w:val="center"/>
          </w:tcPr>
          <w:p w14:paraId="150B1316">
            <w:pPr>
              <w:pStyle w:val="6"/>
              <w:ind w:firstLine="0" w:firstLineChars="0"/>
              <w:jc w:val="center"/>
              <w:rPr>
                <w:rFonts w:hint="default" w:ascii="仿宋" w:hAnsi="仿宋" w:eastAsia="仿宋"/>
                <w:color w:val="auto"/>
                <w:sz w:val="24"/>
                <w:highlight w:val="none"/>
                <w:lang w:val="en-US" w:eastAsia="zh-CN"/>
              </w:rPr>
            </w:pPr>
            <w:r>
              <w:rPr>
                <w:rFonts w:hint="default" w:ascii="仿宋" w:hAnsi="仿宋" w:eastAsia="仿宋"/>
                <w:color w:val="auto"/>
                <w:sz w:val="24"/>
                <w:highlight w:val="none"/>
                <w:lang w:val="en-US" w:eastAsia="zh-CN"/>
              </w:rPr>
              <w:t>35</w:t>
            </w:r>
          </w:p>
        </w:tc>
        <w:tc>
          <w:tcPr>
            <w:tcW w:w="0" w:type="auto"/>
            <w:vAlign w:val="center"/>
          </w:tcPr>
          <w:p w14:paraId="45668237">
            <w:pPr>
              <w:pStyle w:val="6"/>
              <w:ind w:firstLine="0" w:firstLineChars="0"/>
              <w:jc w:val="center"/>
              <w:rPr>
                <w:rFonts w:hint="eastAsia" w:ascii="仿宋" w:hAnsi="仿宋" w:eastAsia="仿宋"/>
                <w:color w:val="auto"/>
                <w:sz w:val="24"/>
                <w:highlight w:val="none"/>
              </w:rPr>
            </w:pPr>
          </w:p>
        </w:tc>
      </w:tr>
      <w:tr w14:paraId="146CD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Align w:val="center"/>
          </w:tcPr>
          <w:p w14:paraId="511ABFD9">
            <w:pPr>
              <w:pStyle w:val="6"/>
              <w:ind w:firstLine="0" w:firstLineChars="0"/>
              <w:jc w:val="center"/>
              <w:rPr>
                <w:rFonts w:hint="eastAsia"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3</w:t>
            </w:r>
          </w:p>
        </w:tc>
        <w:tc>
          <w:tcPr>
            <w:tcW w:w="0" w:type="auto"/>
            <w:shd w:val="clear" w:color="auto" w:fill="auto"/>
            <w:vAlign w:val="center"/>
          </w:tcPr>
          <w:p w14:paraId="09D67288">
            <w:pPr>
              <w:pStyle w:val="6"/>
              <w:ind w:firstLine="0" w:firstLineChars="0"/>
              <w:jc w:val="center"/>
              <w:rPr>
                <w:rFonts w:hint="eastAsia" w:ascii="仿宋" w:hAnsi="仿宋" w:eastAsia="仿宋" w:cs="Arial Unicode MS"/>
                <w:color w:val="auto"/>
                <w:kern w:val="0"/>
                <w:sz w:val="24"/>
                <w:szCs w:val="28"/>
                <w:highlight w:val="none"/>
                <w:lang w:val="en-US" w:eastAsia="zh-CN" w:bidi="ar-SA"/>
              </w:rPr>
            </w:pPr>
            <w:r>
              <w:rPr>
                <w:rFonts w:hint="eastAsia" w:ascii="仿宋" w:hAnsi="仿宋" w:eastAsia="仿宋"/>
                <w:color w:val="auto"/>
                <w:sz w:val="24"/>
                <w:highlight w:val="none"/>
              </w:rPr>
              <w:t>K0+255～K0+300右侧</w:t>
            </w:r>
          </w:p>
        </w:tc>
        <w:tc>
          <w:tcPr>
            <w:tcW w:w="0" w:type="auto"/>
            <w:shd w:val="clear" w:color="auto" w:fill="auto"/>
            <w:vAlign w:val="center"/>
          </w:tcPr>
          <w:p w14:paraId="0A3FE9DD">
            <w:pPr>
              <w:pStyle w:val="6"/>
              <w:ind w:firstLine="0" w:firstLineChars="0"/>
              <w:jc w:val="center"/>
              <w:rPr>
                <w:rFonts w:hint="default" w:ascii="仿宋" w:hAnsi="仿宋" w:eastAsia="仿宋" w:cs="Arial Unicode MS"/>
                <w:color w:val="auto"/>
                <w:kern w:val="0"/>
                <w:sz w:val="24"/>
                <w:szCs w:val="28"/>
                <w:highlight w:val="none"/>
                <w:lang w:val="en-US" w:eastAsia="zh-CN" w:bidi="ar-SA"/>
              </w:rPr>
            </w:pPr>
            <w:r>
              <w:rPr>
                <w:rFonts w:hint="eastAsia" w:ascii="仿宋" w:hAnsi="仿宋" w:eastAsia="仿宋"/>
                <w:color w:val="auto"/>
                <w:sz w:val="24"/>
                <w:highlight w:val="none"/>
                <w:lang w:val="en-US" w:eastAsia="zh-CN"/>
              </w:rPr>
              <w:t>58</w:t>
            </w:r>
          </w:p>
        </w:tc>
        <w:tc>
          <w:tcPr>
            <w:tcW w:w="0" w:type="auto"/>
            <w:vAlign w:val="center"/>
          </w:tcPr>
          <w:p w14:paraId="64EA9B20">
            <w:pPr>
              <w:pStyle w:val="6"/>
              <w:ind w:firstLine="0" w:firstLineChars="0"/>
              <w:jc w:val="center"/>
              <w:rPr>
                <w:rFonts w:hint="eastAsia" w:ascii="仿宋" w:hAnsi="仿宋" w:eastAsia="仿宋"/>
                <w:color w:val="auto"/>
                <w:sz w:val="24"/>
                <w:highlight w:val="none"/>
              </w:rPr>
            </w:pPr>
          </w:p>
        </w:tc>
      </w:tr>
      <w:tr w14:paraId="0E60B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Align w:val="center"/>
          </w:tcPr>
          <w:p w14:paraId="1FD98179">
            <w:pPr>
              <w:pStyle w:val="6"/>
              <w:ind w:firstLine="0" w:firstLineChars="0"/>
              <w:jc w:val="center"/>
              <w:rPr>
                <w:rFonts w:hint="default"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4</w:t>
            </w:r>
          </w:p>
        </w:tc>
        <w:tc>
          <w:tcPr>
            <w:tcW w:w="0" w:type="auto"/>
            <w:shd w:val="clear" w:color="auto" w:fill="auto"/>
            <w:vAlign w:val="center"/>
          </w:tcPr>
          <w:p w14:paraId="07A963F5">
            <w:pPr>
              <w:pStyle w:val="6"/>
              <w:ind w:firstLine="0" w:firstLineChars="0"/>
              <w:jc w:val="center"/>
              <w:rPr>
                <w:rFonts w:hint="eastAsia" w:ascii="仿宋" w:hAnsi="仿宋" w:eastAsia="仿宋" w:cs="Arial Unicode MS"/>
                <w:color w:val="auto"/>
                <w:kern w:val="0"/>
                <w:sz w:val="24"/>
                <w:szCs w:val="28"/>
                <w:highlight w:val="none"/>
                <w:lang w:val="en-US" w:eastAsia="zh-CN" w:bidi="ar-SA"/>
              </w:rPr>
            </w:pPr>
            <w:r>
              <w:rPr>
                <w:rFonts w:hint="eastAsia" w:ascii="仿宋" w:hAnsi="仿宋" w:eastAsia="仿宋"/>
                <w:color w:val="auto"/>
                <w:sz w:val="24"/>
                <w:highlight w:val="none"/>
              </w:rPr>
              <w:t>K0+290～K0+319</w:t>
            </w:r>
            <w:r>
              <w:rPr>
                <w:rFonts w:hint="eastAsia" w:ascii="仿宋" w:hAnsi="仿宋" w:eastAsia="仿宋"/>
                <w:color w:val="auto"/>
                <w:sz w:val="24"/>
                <w:highlight w:val="none"/>
                <w:lang w:eastAsia="zh-CN"/>
              </w:rPr>
              <w:t>左</w:t>
            </w:r>
            <w:r>
              <w:rPr>
                <w:rFonts w:hint="eastAsia" w:ascii="仿宋" w:hAnsi="仿宋" w:eastAsia="仿宋"/>
                <w:color w:val="auto"/>
                <w:sz w:val="24"/>
                <w:highlight w:val="none"/>
              </w:rPr>
              <w:t>侧</w:t>
            </w:r>
          </w:p>
        </w:tc>
        <w:tc>
          <w:tcPr>
            <w:tcW w:w="0" w:type="auto"/>
            <w:shd w:val="clear" w:color="auto" w:fill="auto"/>
            <w:vAlign w:val="center"/>
          </w:tcPr>
          <w:p w14:paraId="1A90F18E">
            <w:pPr>
              <w:pStyle w:val="6"/>
              <w:ind w:firstLine="0" w:firstLineChars="0"/>
              <w:jc w:val="center"/>
              <w:rPr>
                <w:rFonts w:hint="eastAsia" w:ascii="仿宋" w:hAnsi="仿宋" w:eastAsia="仿宋" w:cs="Arial Unicode MS"/>
                <w:color w:val="auto"/>
                <w:kern w:val="0"/>
                <w:sz w:val="24"/>
                <w:szCs w:val="28"/>
                <w:highlight w:val="none"/>
                <w:lang w:val="en-US" w:eastAsia="zh-CN" w:bidi="ar-SA"/>
              </w:rPr>
            </w:pPr>
            <w:r>
              <w:rPr>
                <w:rFonts w:hint="eastAsia" w:ascii="仿宋" w:hAnsi="仿宋" w:eastAsia="仿宋"/>
                <w:color w:val="auto"/>
                <w:sz w:val="24"/>
                <w:highlight w:val="none"/>
                <w:lang w:val="en-US" w:eastAsia="zh-CN"/>
              </w:rPr>
              <w:t>37</w:t>
            </w:r>
          </w:p>
        </w:tc>
        <w:tc>
          <w:tcPr>
            <w:tcW w:w="0" w:type="auto"/>
            <w:vAlign w:val="center"/>
          </w:tcPr>
          <w:p w14:paraId="3B592631">
            <w:pPr>
              <w:pStyle w:val="6"/>
              <w:ind w:firstLine="0" w:firstLineChars="0"/>
              <w:jc w:val="center"/>
              <w:rPr>
                <w:rFonts w:hint="eastAsia" w:ascii="仿宋" w:hAnsi="仿宋" w:eastAsia="仿宋"/>
                <w:color w:val="auto"/>
                <w:sz w:val="24"/>
                <w:highlight w:val="none"/>
              </w:rPr>
            </w:pPr>
          </w:p>
        </w:tc>
      </w:tr>
      <w:tr w14:paraId="1ABD2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2"/>
            <w:vAlign w:val="center"/>
          </w:tcPr>
          <w:p w14:paraId="11840113">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合计</w:t>
            </w:r>
          </w:p>
        </w:tc>
        <w:tc>
          <w:tcPr>
            <w:tcW w:w="0" w:type="auto"/>
            <w:vAlign w:val="center"/>
          </w:tcPr>
          <w:p w14:paraId="0A5CC334">
            <w:pPr>
              <w:pStyle w:val="6"/>
              <w:ind w:firstLine="0" w:firstLineChars="0"/>
              <w:jc w:val="center"/>
              <w:rPr>
                <w:rFonts w:hint="default" w:ascii="仿宋" w:hAnsi="仿宋" w:eastAsia="仿宋"/>
                <w:color w:val="auto"/>
                <w:sz w:val="24"/>
                <w:highlight w:val="none"/>
                <w:lang w:val="en-US" w:eastAsia="zh-CN"/>
              </w:rPr>
            </w:pPr>
            <w:r>
              <w:rPr>
                <w:rFonts w:hint="eastAsia" w:ascii="Times New Roman" w:hAnsi="Times New Roman" w:eastAsia="宋体" w:cs="Times New Roman"/>
                <w:i w:val="0"/>
                <w:iCs w:val="0"/>
                <w:color w:val="auto"/>
                <w:kern w:val="0"/>
                <w:sz w:val="24"/>
                <w:szCs w:val="24"/>
                <w:highlight w:val="none"/>
                <w:u w:val="none"/>
                <w:lang w:val="en-US" w:eastAsia="zh-CN" w:bidi="ar"/>
              </w:rPr>
              <w:t>223</w:t>
            </w:r>
          </w:p>
        </w:tc>
        <w:tc>
          <w:tcPr>
            <w:tcW w:w="0" w:type="auto"/>
            <w:vAlign w:val="center"/>
          </w:tcPr>
          <w:p w14:paraId="2A48BB75">
            <w:pPr>
              <w:pStyle w:val="6"/>
              <w:ind w:firstLine="0" w:firstLineChars="0"/>
              <w:jc w:val="center"/>
              <w:rPr>
                <w:rFonts w:hint="eastAsia" w:ascii="仿宋" w:hAnsi="仿宋" w:eastAsia="仿宋"/>
                <w:color w:val="auto"/>
                <w:sz w:val="24"/>
                <w:highlight w:val="none"/>
              </w:rPr>
            </w:pPr>
          </w:p>
        </w:tc>
      </w:tr>
    </w:tbl>
    <w:p w14:paraId="7E283302">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（2）B级波形护栏</w:t>
      </w:r>
    </w:p>
    <w:p w14:paraId="17041BC9">
      <w:pPr>
        <w:ind w:firstLine="560"/>
        <w:rPr>
          <w:rFonts w:hint="eastAsia" w:ascii="仿宋" w:hAnsi="仿宋" w:eastAsia="仿宋" w:cs="仿宋"/>
          <w:color w:val="auto"/>
          <w:szCs w:val="28"/>
          <w:highlight w:val="none"/>
          <w:lang w:eastAsia="zh-CN"/>
        </w:rPr>
      </w:pPr>
      <w:r>
        <w:rPr>
          <w:rFonts w:hint="eastAsia" w:ascii="仿宋" w:hAnsi="仿宋" w:eastAsia="仿宋" w:cs="仿宋"/>
          <w:color w:val="auto"/>
          <w:szCs w:val="28"/>
          <w:highlight w:val="none"/>
        </w:rPr>
        <w:t>为保障车辆行驶及人行安全，在填方超过2m路段设置B级波形护栏。</w:t>
      </w:r>
      <w:r>
        <w:rPr>
          <w:rFonts w:hint="eastAsia" w:ascii="仿宋" w:hAnsi="仿宋" w:eastAsia="仿宋" w:cs="仿宋"/>
          <w:color w:val="auto"/>
          <w:szCs w:val="28"/>
          <w:highlight w:val="none"/>
          <w:lang w:eastAsia="zh-CN"/>
        </w:rPr>
        <w:t>护栏端头设置立面标记。</w:t>
      </w:r>
    </w:p>
    <w:p w14:paraId="69DD2D09">
      <w:pPr>
        <w:spacing w:line="360" w:lineRule="auto"/>
        <w:ind w:firstLine="560"/>
        <w:jc w:val="center"/>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B级波形护栏设置一栏表</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9"/>
        <w:gridCol w:w="5089"/>
        <w:gridCol w:w="2321"/>
        <w:gridCol w:w="1530"/>
      </w:tblGrid>
      <w:tr w14:paraId="3E0C9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Align w:val="center"/>
          </w:tcPr>
          <w:p w14:paraId="3C21126F">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序号</w:t>
            </w:r>
          </w:p>
        </w:tc>
        <w:tc>
          <w:tcPr>
            <w:tcW w:w="0" w:type="auto"/>
            <w:vAlign w:val="center"/>
          </w:tcPr>
          <w:p w14:paraId="1D38A163">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设置位置</w:t>
            </w:r>
          </w:p>
        </w:tc>
        <w:tc>
          <w:tcPr>
            <w:tcW w:w="0" w:type="auto"/>
            <w:vAlign w:val="center"/>
          </w:tcPr>
          <w:p w14:paraId="45455A9A">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长度(m)</w:t>
            </w:r>
          </w:p>
        </w:tc>
        <w:tc>
          <w:tcPr>
            <w:tcW w:w="0" w:type="auto"/>
            <w:vAlign w:val="center"/>
          </w:tcPr>
          <w:p w14:paraId="482DFD10">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备注</w:t>
            </w:r>
          </w:p>
        </w:tc>
      </w:tr>
      <w:tr w14:paraId="13951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Align w:val="center"/>
          </w:tcPr>
          <w:p w14:paraId="150E46B3">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1</w:t>
            </w:r>
          </w:p>
        </w:tc>
        <w:tc>
          <w:tcPr>
            <w:tcW w:w="0" w:type="auto"/>
            <w:vAlign w:val="center"/>
          </w:tcPr>
          <w:p w14:paraId="3813ED96">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K0+000-K0+089</w:t>
            </w:r>
            <w:r>
              <w:rPr>
                <w:rFonts w:hint="eastAsia" w:ascii="仿宋" w:hAnsi="仿宋" w:eastAsia="仿宋"/>
                <w:color w:val="auto"/>
                <w:sz w:val="24"/>
                <w:highlight w:val="none"/>
                <w:lang w:eastAsia="zh-CN"/>
              </w:rPr>
              <w:t>右</w:t>
            </w:r>
            <w:r>
              <w:rPr>
                <w:rFonts w:hint="eastAsia" w:ascii="仿宋" w:hAnsi="仿宋" w:eastAsia="仿宋"/>
                <w:color w:val="auto"/>
                <w:sz w:val="24"/>
                <w:highlight w:val="none"/>
              </w:rPr>
              <w:t>侧</w:t>
            </w:r>
          </w:p>
        </w:tc>
        <w:tc>
          <w:tcPr>
            <w:tcW w:w="0" w:type="auto"/>
            <w:vAlign w:val="center"/>
          </w:tcPr>
          <w:p w14:paraId="7A802C54">
            <w:pPr>
              <w:pStyle w:val="6"/>
              <w:ind w:firstLine="0" w:firstLineChars="0"/>
              <w:jc w:val="center"/>
              <w:rPr>
                <w:rFonts w:hint="default"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93</w:t>
            </w:r>
          </w:p>
        </w:tc>
        <w:tc>
          <w:tcPr>
            <w:tcW w:w="0" w:type="auto"/>
            <w:vAlign w:val="center"/>
          </w:tcPr>
          <w:p w14:paraId="3A7ACDB2">
            <w:pPr>
              <w:pStyle w:val="6"/>
              <w:ind w:firstLine="0" w:firstLineChars="0"/>
              <w:jc w:val="center"/>
              <w:rPr>
                <w:rFonts w:hint="eastAsia" w:ascii="仿宋" w:hAnsi="仿宋" w:eastAsia="仿宋"/>
                <w:color w:val="auto"/>
                <w:sz w:val="24"/>
                <w:highlight w:val="none"/>
              </w:rPr>
            </w:pPr>
          </w:p>
        </w:tc>
      </w:tr>
      <w:tr w14:paraId="140D2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Align w:val="center"/>
          </w:tcPr>
          <w:p w14:paraId="6765F1AB">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2</w:t>
            </w:r>
          </w:p>
        </w:tc>
        <w:tc>
          <w:tcPr>
            <w:tcW w:w="0" w:type="auto"/>
            <w:vAlign w:val="center"/>
          </w:tcPr>
          <w:p w14:paraId="6C84FF3A">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K0+</w:t>
            </w:r>
            <w:r>
              <w:rPr>
                <w:rFonts w:hint="eastAsia" w:ascii="仿宋" w:hAnsi="仿宋" w:eastAsia="仿宋"/>
                <w:color w:val="auto"/>
                <w:sz w:val="24"/>
                <w:highlight w:val="none"/>
                <w:lang w:val="en-US" w:eastAsia="zh-CN"/>
              </w:rPr>
              <w:t>195</w:t>
            </w:r>
            <w:r>
              <w:rPr>
                <w:rFonts w:hint="eastAsia" w:ascii="仿宋" w:hAnsi="仿宋" w:eastAsia="仿宋"/>
                <w:color w:val="auto"/>
                <w:sz w:val="24"/>
                <w:highlight w:val="none"/>
              </w:rPr>
              <w:t>-K0+235</w:t>
            </w:r>
            <w:r>
              <w:rPr>
                <w:rFonts w:hint="eastAsia" w:ascii="仿宋" w:hAnsi="仿宋" w:eastAsia="仿宋"/>
                <w:color w:val="auto"/>
                <w:sz w:val="24"/>
                <w:highlight w:val="none"/>
                <w:lang w:eastAsia="zh-CN"/>
              </w:rPr>
              <w:t>右</w:t>
            </w:r>
            <w:r>
              <w:rPr>
                <w:rFonts w:hint="eastAsia" w:ascii="仿宋" w:hAnsi="仿宋" w:eastAsia="仿宋"/>
                <w:color w:val="auto"/>
                <w:sz w:val="24"/>
                <w:highlight w:val="none"/>
              </w:rPr>
              <w:t>侧</w:t>
            </w:r>
          </w:p>
        </w:tc>
        <w:tc>
          <w:tcPr>
            <w:tcW w:w="0" w:type="auto"/>
            <w:vAlign w:val="center"/>
          </w:tcPr>
          <w:p w14:paraId="1C884670">
            <w:pPr>
              <w:pStyle w:val="6"/>
              <w:ind w:firstLine="0" w:firstLineChars="0"/>
              <w:jc w:val="center"/>
              <w:rPr>
                <w:rFonts w:hint="default"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40</w:t>
            </w:r>
          </w:p>
        </w:tc>
        <w:tc>
          <w:tcPr>
            <w:tcW w:w="0" w:type="auto"/>
            <w:vAlign w:val="center"/>
          </w:tcPr>
          <w:p w14:paraId="72359D2A">
            <w:pPr>
              <w:pStyle w:val="6"/>
              <w:ind w:firstLine="0" w:firstLineChars="0"/>
              <w:jc w:val="center"/>
              <w:rPr>
                <w:rFonts w:hint="eastAsia" w:ascii="仿宋" w:hAnsi="仿宋" w:eastAsia="仿宋"/>
                <w:color w:val="auto"/>
                <w:sz w:val="24"/>
                <w:highlight w:val="none"/>
              </w:rPr>
            </w:pPr>
          </w:p>
        </w:tc>
      </w:tr>
      <w:tr w14:paraId="379F9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Align w:val="center"/>
          </w:tcPr>
          <w:p w14:paraId="024AC94C">
            <w:pPr>
              <w:pStyle w:val="6"/>
              <w:ind w:firstLine="0" w:firstLineChars="0"/>
              <w:jc w:val="center"/>
              <w:rPr>
                <w:rFonts w:hint="eastAsia"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3</w:t>
            </w:r>
          </w:p>
        </w:tc>
        <w:tc>
          <w:tcPr>
            <w:tcW w:w="0" w:type="auto"/>
            <w:vAlign w:val="center"/>
          </w:tcPr>
          <w:p w14:paraId="12D6168E">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K0+204-K0+247</w:t>
            </w:r>
            <w:r>
              <w:rPr>
                <w:rFonts w:hint="eastAsia" w:ascii="仿宋" w:hAnsi="仿宋" w:eastAsia="仿宋"/>
                <w:color w:val="auto"/>
                <w:sz w:val="24"/>
                <w:highlight w:val="none"/>
                <w:lang w:eastAsia="zh-CN"/>
              </w:rPr>
              <w:t>左</w:t>
            </w:r>
            <w:r>
              <w:rPr>
                <w:rFonts w:hint="eastAsia" w:ascii="仿宋" w:hAnsi="仿宋" w:eastAsia="仿宋"/>
                <w:color w:val="auto"/>
                <w:sz w:val="24"/>
                <w:highlight w:val="none"/>
              </w:rPr>
              <w:t>侧</w:t>
            </w:r>
          </w:p>
        </w:tc>
        <w:tc>
          <w:tcPr>
            <w:tcW w:w="0" w:type="auto"/>
            <w:vAlign w:val="center"/>
          </w:tcPr>
          <w:p w14:paraId="36B7234A">
            <w:pPr>
              <w:pStyle w:val="6"/>
              <w:ind w:firstLine="0" w:firstLineChars="0"/>
              <w:jc w:val="center"/>
              <w:rPr>
                <w:rFonts w:hint="default"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44</w:t>
            </w:r>
          </w:p>
        </w:tc>
        <w:tc>
          <w:tcPr>
            <w:tcW w:w="0" w:type="auto"/>
            <w:vAlign w:val="center"/>
          </w:tcPr>
          <w:p w14:paraId="5AA65D02">
            <w:pPr>
              <w:pStyle w:val="6"/>
              <w:ind w:firstLine="0" w:firstLineChars="0"/>
              <w:jc w:val="center"/>
              <w:rPr>
                <w:rFonts w:hint="eastAsia" w:ascii="仿宋" w:hAnsi="仿宋" w:eastAsia="仿宋"/>
                <w:color w:val="auto"/>
                <w:sz w:val="24"/>
                <w:highlight w:val="none"/>
              </w:rPr>
            </w:pPr>
          </w:p>
        </w:tc>
      </w:tr>
      <w:tr w14:paraId="65529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2"/>
            <w:vAlign w:val="center"/>
          </w:tcPr>
          <w:p w14:paraId="16CF2F7A">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合计</w:t>
            </w:r>
          </w:p>
        </w:tc>
        <w:tc>
          <w:tcPr>
            <w:tcW w:w="0" w:type="auto"/>
            <w:vAlign w:val="center"/>
          </w:tcPr>
          <w:p w14:paraId="7977ECE2">
            <w:pPr>
              <w:pStyle w:val="6"/>
              <w:ind w:firstLine="0" w:firstLineChars="0"/>
              <w:jc w:val="center"/>
              <w:rPr>
                <w:rFonts w:hint="default" w:ascii="仿宋" w:hAnsi="仿宋" w:eastAsia="仿宋"/>
                <w:color w:val="auto"/>
                <w:sz w:val="24"/>
                <w:highlight w:val="none"/>
                <w:lang w:val="en-US" w:eastAsia="zh-CN"/>
              </w:rPr>
            </w:pPr>
            <w:r>
              <w:rPr>
                <w:rFonts w:hint="eastAsia" w:ascii="仿宋" w:hAnsi="仿宋" w:eastAsia="仿宋"/>
                <w:color w:val="auto"/>
                <w:sz w:val="24"/>
                <w:highlight w:val="none"/>
                <w:lang w:val="en-US" w:eastAsia="zh-CN"/>
              </w:rPr>
              <w:t>177</w:t>
            </w:r>
          </w:p>
        </w:tc>
        <w:tc>
          <w:tcPr>
            <w:tcW w:w="0" w:type="auto"/>
            <w:vAlign w:val="center"/>
          </w:tcPr>
          <w:p w14:paraId="1A48B76A">
            <w:pPr>
              <w:pStyle w:val="6"/>
              <w:ind w:firstLine="0" w:firstLineChars="0"/>
              <w:jc w:val="center"/>
              <w:rPr>
                <w:rFonts w:hint="eastAsia" w:ascii="仿宋" w:hAnsi="仿宋" w:eastAsia="仿宋"/>
                <w:color w:val="auto"/>
                <w:sz w:val="24"/>
                <w:highlight w:val="none"/>
              </w:rPr>
            </w:pPr>
          </w:p>
        </w:tc>
      </w:tr>
    </w:tbl>
    <w:p w14:paraId="4A730DFD">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（3）抗滑构造施工</w:t>
      </w:r>
    </w:p>
    <w:p w14:paraId="1722A23E">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水泥混凝土面层采用刻槽法制作宏观抗滑构造，刻槽机最小刻槽宽度不应小于500mm，衔接距离与槽间距相同。</w:t>
      </w:r>
    </w:p>
    <w:p w14:paraId="0117836F">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矩形槽槽深为3~4mm，槽宽为3~5mm，槽间距为12~25mm，刻槽过程中应避免槽口边角损坏，不得中途抬起刻槽机或改变刻槽方向。</w:t>
      </w:r>
    </w:p>
    <w:p w14:paraId="236110E8">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刻槽不得刻穿纵、横缩缝。刻槽后表面应随即冲洗干净，并恢复路面的养生。</w:t>
      </w:r>
    </w:p>
    <w:p w14:paraId="1729B9A4">
      <w:pPr>
        <w:adjustRightInd w:val="0"/>
        <w:snapToGrid w:val="0"/>
        <w:ind w:firstLine="562"/>
        <w:outlineLvl w:val="1"/>
        <w:rPr>
          <w:rFonts w:hint="eastAsia" w:ascii="仿宋" w:hAnsi="仿宋" w:eastAsia="仿宋" w:cs="仿宋"/>
          <w:b/>
          <w:color w:val="auto"/>
          <w:szCs w:val="28"/>
          <w:highlight w:val="none"/>
          <w:lang w:eastAsia="zh-CN"/>
        </w:rPr>
      </w:pPr>
      <w:r>
        <w:rPr>
          <w:rFonts w:hint="eastAsia" w:ascii="仿宋" w:hAnsi="仿宋" w:eastAsia="仿宋" w:cs="仿宋"/>
          <w:b/>
          <w:color w:val="auto"/>
          <w:szCs w:val="28"/>
          <w:highlight w:val="none"/>
          <w:lang w:val="en-US" w:eastAsia="zh-CN"/>
        </w:rPr>
        <w:t>8</w:t>
      </w:r>
      <w:r>
        <w:rPr>
          <w:rFonts w:hint="eastAsia" w:ascii="仿宋" w:hAnsi="仿宋" w:eastAsia="仿宋" w:cs="仿宋"/>
          <w:b/>
          <w:color w:val="auto"/>
          <w:szCs w:val="28"/>
          <w:highlight w:val="none"/>
        </w:rPr>
        <w:t>.</w:t>
      </w:r>
      <w:r>
        <w:rPr>
          <w:rFonts w:hint="eastAsia" w:ascii="仿宋" w:hAnsi="仿宋" w:eastAsia="仿宋" w:cs="仿宋"/>
          <w:b/>
          <w:color w:val="auto"/>
          <w:szCs w:val="28"/>
          <w:highlight w:val="none"/>
          <w:lang w:val="en-US" w:eastAsia="zh-CN"/>
        </w:rPr>
        <w:t>9</w:t>
      </w:r>
      <w:r>
        <w:rPr>
          <w:rFonts w:hint="eastAsia" w:ascii="仿宋" w:hAnsi="仿宋" w:eastAsia="仿宋" w:cs="仿宋"/>
          <w:b/>
          <w:color w:val="auto"/>
          <w:szCs w:val="28"/>
          <w:highlight w:val="none"/>
        </w:rPr>
        <w:t>路缘石</w:t>
      </w:r>
    </w:p>
    <w:p w14:paraId="6C7EF62A">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路缘石采用C30混凝土预制，由于需要与现状保持一致，但目前未掌握需恢复的路缘石尺寸，设计暂按下列尺寸考虑，现场施工过程中如需采用其他材质或尺寸不符应及时同时监理及甲方，最终确定路缘石相关参数。</w:t>
      </w:r>
    </w:p>
    <w:p w14:paraId="0B081176">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人行道路缘石采用C30混凝土预制，尺寸为150mm×500mm×750mm，倒角为20mm，出露车行道高度为0.2m。</w:t>
      </w:r>
    </w:p>
    <w:p w14:paraId="750CD535">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lang w:val="en-US" w:eastAsia="zh-CN"/>
        </w:rPr>
        <w:t>8</w:t>
      </w:r>
      <w:r>
        <w:rPr>
          <w:rFonts w:hint="eastAsia" w:ascii="仿宋" w:hAnsi="仿宋" w:eastAsia="仿宋" w:cs="仿宋"/>
          <w:b/>
          <w:color w:val="auto"/>
          <w:szCs w:val="28"/>
          <w:highlight w:val="none"/>
        </w:rPr>
        <w:t>.</w:t>
      </w:r>
      <w:r>
        <w:rPr>
          <w:rFonts w:hint="eastAsia" w:ascii="仿宋" w:hAnsi="仿宋" w:eastAsia="仿宋" w:cs="仿宋"/>
          <w:b/>
          <w:color w:val="auto"/>
          <w:szCs w:val="28"/>
          <w:highlight w:val="none"/>
          <w:lang w:val="en-US" w:eastAsia="zh-CN"/>
        </w:rPr>
        <w:t>10</w:t>
      </w:r>
      <w:r>
        <w:rPr>
          <w:rFonts w:hint="eastAsia" w:ascii="仿宋" w:hAnsi="仿宋" w:eastAsia="仿宋" w:cs="仿宋"/>
          <w:b/>
          <w:color w:val="auto"/>
          <w:szCs w:val="28"/>
          <w:highlight w:val="none"/>
        </w:rPr>
        <w:t>施工技术要点</w:t>
      </w:r>
    </w:p>
    <w:p w14:paraId="0EBBC4B9">
      <w:pPr>
        <w:adjustRightInd w:val="0"/>
        <w:ind w:firstLine="562"/>
        <w:contextualSpacing/>
        <w:outlineLvl w:val="2"/>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lang w:val="en-US" w:eastAsia="zh-CN"/>
        </w:rPr>
        <w:t>8</w:t>
      </w:r>
      <w:r>
        <w:rPr>
          <w:rFonts w:hint="eastAsia" w:ascii="仿宋" w:hAnsi="仿宋" w:eastAsia="仿宋" w:cs="仿宋"/>
          <w:b/>
          <w:bCs/>
          <w:color w:val="auto"/>
          <w:szCs w:val="28"/>
          <w:highlight w:val="none"/>
        </w:rPr>
        <w:t>.</w:t>
      </w:r>
      <w:r>
        <w:rPr>
          <w:rFonts w:hint="eastAsia" w:ascii="仿宋" w:hAnsi="仿宋" w:eastAsia="仿宋" w:cs="仿宋"/>
          <w:b/>
          <w:bCs/>
          <w:color w:val="auto"/>
          <w:szCs w:val="28"/>
          <w:highlight w:val="none"/>
          <w:lang w:val="en-US" w:eastAsia="zh-CN"/>
        </w:rPr>
        <w:t>10</w:t>
      </w:r>
      <w:r>
        <w:rPr>
          <w:rFonts w:hint="eastAsia" w:ascii="仿宋" w:hAnsi="仿宋" w:eastAsia="仿宋" w:cs="仿宋"/>
          <w:b/>
          <w:bCs/>
          <w:color w:val="auto"/>
          <w:szCs w:val="28"/>
          <w:highlight w:val="none"/>
        </w:rPr>
        <w:t>.1路基施工要点</w:t>
      </w:r>
    </w:p>
    <w:p w14:paraId="743158D6">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路基设计主要依据交通部颁发《公路工程技术标准》（JTG B01-2014）、《公路路面基层施工技术规范》（JTJ034－2015）及《公路路基设计规范》（JTG D30-2015），以及其它相关地质资料进行。主要技术指标如下：</w:t>
      </w:r>
    </w:p>
    <w:p w14:paraId="42A55D02">
      <w:pPr>
        <w:ind w:firstLine="560"/>
        <w:rPr>
          <w:rFonts w:hint="eastAsia" w:ascii="仿宋" w:hAnsi="仿宋" w:eastAsia="仿宋" w:cs="仿宋"/>
          <w:color w:val="auto"/>
          <w:szCs w:val="28"/>
          <w:highlight w:val="none"/>
          <w:lang w:eastAsia="zh-CN"/>
        </w:rPr>
      </w:pPr>
      <w:r>
        <w:rPr>
          <w:rFonts w:hint="eastAsia" w:ascii="仿宋" w:hAnsi="仿宋" w:eastAsia="仿宋" w:cs="仿宋"/>
          <w:color w:val="auto"/>
          <w:szCs w:val="28"/>
          <w:highlight w:val="none"/>
          <w:lang w:eastAsia="zh-CN"/>
        </w:rPr>
        <w:t>（</w:t>
      </w:r>
      <w:r>
        <w:rPr>
          <w:rFonts w:hint="eastAsia" w:ascii="仿宋" w:hAnsi="仿宋" w:eastAsia="仿宋" w:cs="仿宋"/>
          <w:color w:val="auto"/>
          <w:szCs w:val="28"/>
          <w:highlight w:val="none"/>
          <w:lang w:val="en-US" w:eastAsia="zh-CN"/>
        </w:rPr>
        <w:t>1</w:t>
      </w:r>
      <w:r>
        <w:rPr>
          <w:rFonts w:hint="eastAsia" w:ascii="仿宋" w:hAnsi="仿宋" w:eastAsia="仿宋" w:cs="仿宋"/>
          <w:color w:val="auto"/>
          <w:szCs w:val="28"/>
          <w:highlight w:val="none"/>
          <w:lang w:eastAsia="zh-CN"/>
        </w:rPr>
        <w:t>）路基压实技术要求</w:t>
      </w:r>
    </w:p>
    <w:p w14:paraId="4316B505">
      <w:pPr>
        <w:ind w:firstLine="560"/>
        <w:rPr>
          <w:rFonts w:hint="eastAsia" w:ascii="仿宋" w:hAnsi="仿宋" w:eastAsia="仿宋" w:cs="仿宋"/>
          <w:color w:val="auto"/>
          <w:szCs w:val="28"/>
          <w:highlight w:val="none"/>
          <w:lang w:eastAsia="zh-CN"/>
        </w:rPr>
      </w:pPr>
      <w:r>
        <w:rPr>
          <w:rFonts w:hint="eastAsia" w:ascii="仿宋" w:hAnsi="仿宋" w:eastAsia="仿宋" w:cs="仿宋"/>
          <w:color w:val="auto"/>
          <w:szCs w:val="28"/>
          <w:highlight w:val="none"/>
          <w:lang w:eastAsia="zh-CN"/>
        </w:rPr>
        <w:t xml:space="preserve"> 路基填筑前平均清除0.3cm厚的表层土，清表后对基底碾压密实，使基底的压实度不应小于90％。表层种植土集中堆放，并将其用于边坡绿化以及弃土场复耕等，严禁用于填筑路基和胡乱丢弃。</w:t>
      </w:r>
    </w:p>
    <w:p w14:paraId="378C81E1">
      <w:pPr>
        <w:ind w:firstLine="560"/>
        <w:rPr>
          <w:rFonts w:hint="eastAsia" w:ascii="仿宋" w:hAnsi="仿宋" w:eastAsia="仿宋" w:cs="仿宋"/>
          <w:color w:val="auto"/>
          <w:szCs w:val="28"/>
          <w:highlight w:val="none"/>
          <w:lang w:eastAsia="zh-CN"/>
        </w:rPr>
      </w:pPr>
      <w:r>
        <w:rPr>
          <w:rFonts w:hint="eastAsia" w:ascii="仿宋" w:hAnsi="仿宋" w:eastAsia="仿宋" w:cs="仿宋"/>
          <w:color w:val="auto"/>
          <w:szCs w:val="28"/>
          <w:highlight w:val="none"/>
          <w:lang w:eastAsia="zh-CN"/>
        </w:rPr>
        <w:t>为了保证路基路面的整体稳定性，路基填料应均匀、密实，经过现场试验确认后方能填筑。路基的压实度、填料最小强度和最大粒径应分别满足下表的要求。土石可用于路堤的填筑，但路床范围应使用硬质岩石渣填筑。路床范围内填料粒径不得大于10cm，路堤容许最大粒径为15cm，液限大于50％、塑性指数大于26的细粒土，不得直接用作路堤填料，挡土墙墙背填料必须选用碎石、石屑、石渣等粗粒土填筑。</w:t>
      </w:r>
    </w:p>
    <w:p w14:paraId="5F17C9DE">
      <w:pPr>
        <w:ind w:firstLine="560"/>
        <w:rPr>
          <w:rFonts w:hint="eastAsia" w:ascii="仿宋" w:hAnsi="仿宋" w:eastAsia="仿宋" w:cs="仿宋"/>
          <w:color w:val="auto"/>
          <w:szCs w:val="28"/>
          <w:highlight w:val="none"/>
          <w:lang w:eastAsia="zh-CN"/>
        </w:rPr>
      </w:pPr>
      <w:r>
        <w:rPr>
          <w:rFonts w:hint="eastAsia" w:ascii="仿宋" w:hAnsi="仿宋" w:eastAsia="仿宋" w:cs="仿宋"/>
          <w:color w:val="auto"/>
          <w:szCs w:val="28"/>
          <w:highlight w:val="none"/>
          <w:lang w:eastAsia="zh-CN"/>
        </w:rPr>
        <w:t>在填筑过程中应严格根据《公路路基施工技术规范》（JTG/T 3610-2019）要求进行，通过试验路段确定填筑工艺。设计最大松铺厚度土质路基施工应不大于30cm，土石混填路基不宜超过40cm，冬季施工松铺厚度应比正常施工减少20%～30%，具体施工时每层铺填厚度可根据试验路结果、压实机械类型和规格确定。松铺应避免硬质石块 (特别是尺寸大的硬质石块)集中；当石料含量超过70%时，分层摊铺时先铺填大块石料，且大面向下，放置平稳，再铺小块石料、石渣或石屑嵌缝找平，然后碾压。</w:t>
      </w:r>
    </w:p>
    <w:p w14:paraId="52214481">
      <w:pPr>
        <w:ind w:firstLine="560"/>
        <w:rPr>
          <w:rFonts w:hint="eastAsia" w:ascii="仿宋" w:hAnsi="仿宋" w:eastAsia="仿宋" w:cs="仿宋"/>
          <w:color w:val="auto"/>
          <w:szCs w:val="28"/>
          <w:highlight w:val="none"/>
          <w:lang w:eastAsia="zh-CN"/>
        </w:rPr>
      </w:pPr>
      <w:r>
        <w:rPr>
          <w:rFonts w:hint="eastAsia" w:ascii="仿宋" w:hAnsi="仿宋" w:eastAsia="仿宋" w:cs="仿宋"/>
          <w:color w:val="auto"/>
          <w:szCs w:val="28"/>
          <w:highlight w:val="none"/>
          <w:lang w:eastAsia="zh-CN"/>
        </w:rPr>
        <w:t xml:space="preserve">路基交工检测其顶面压实度按重型击实标准不得低于95%，代表弯沉值300（0.01mm）。路基压实标准按重型压实标准执行，填方路基应分层铺筑，均匀压实，其压实度符合下表要求： </w:t>
      </w:r>
    </w:p>
    <w:p w14:paraId="63BA071A">
      <w:pPr>
        <w:spacing w:line="360" w:lineRule="auto"/>
        <w:ind w:firstLine="560"/>
        <w:jc w:val="center"/>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路基压实度要求(重型击实标准)</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2261"/>
        <w:gridCol w:w="3022"/>
        <w:gridCol w:w="3023"/>
      </w:tblGrid>
      <w:tr w14:paraId="302EC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tblHeader/>
          <w:jc w:val="center"/>
        </w:trPr>
        <w:tc>
          <w:tcPr>
            <w:tcW w:w="3113" w:type="dxa"/>
            <w:gridSpan w:val="2"/>
            <w:noWrap w:val="0"/>
            <w:vAlign w:val="center"/>
          </w:tcPr>
          <w:p w14:paraId="50C67AFC">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填  挖  类  型</w:t>
            </w:r>
          </w:p>
        </w:tc>
        <w:tc>
          <w:tcPr>
            <w:tcW w:w="3022" w:type="dxa"/>
            <w:noWrap w:val="0"/>
            <w:vAlign w:val="center"/>
          </w:tcPr>
          <w:p w14:paraId="3DC0CC31">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路床顶面以下深度(cm)</w:t>
            </w:r>
          </w:p>
        </w:tc>
        <w:tc>
          <w:tcPr>
            <w:tcW w:w="3023" w:type="dxa"/>
            <w:noWrap w:val="0"/>
            <w:vAlign w:val="center"/>
          </w:tcPr>
          <w:p w14:paraId="5208A13A">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压实度(％)</w:t>
            </w:r>
          </w:p>
        </w:tc>
      </w:tr>
      <w:tr w14:paraId="522AA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852" w:type="dxa"/>
            <w:vMerge w:val="restart"/>
            <w:noWrap w:val="0"/>
            <w:vAlign w:val="center"/>
          </w:tcPr>
          <w:p w14:paraId="57726AFF">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填方路基</w:t>
            </w:r>
          </w:p>
        </w:tc>
        <w:tc>
          <w:tcPr>
            <w:tcW w:w="2261" w:type="dxa"/>
            <w:noWrap w:val="0"/>
            <w:vAlign w:val="center"/>
          </w:tcPr>
          <w:p w14:paraId="119B2C34">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上路床</w:t>
            </w:r>
          </w:p>
        </w:tc>
        <w:tc>
          <w:tcPr>
            <w:tcW w:w="3022" w:type="dxa"/>
            <w:noWrap w:val="0"/>
            <w:vAlign w:val="center"/>
          </w:tcPr>
          <w:p w14:paraId="0E38BC6F">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0～30</w:t>
            </w:r>
          </w:p>
        </w:tc>
        <w:tc>
          <w:tcPr>
            <w:tcW w:w="3023" w:type="dxa"/>
            <w:noWrap w:val="0"/>
            <w:vAlign w:val="center"/>
          </w:tcPr>
          <w:p w14:paraId="6CA5293C">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≥95</w:t>
            </w:r>
          </w:p>
        </w:tc>
      </w:tr>
      <w:tr w14:paraId="24555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852" w:type="dxa"/>
            <w:vMerge w:val="continue"/>
            <w:noWrap w:val="0"/>
            <w:vAlign w:val="center"/>
          </w:tcPr>
          <w:p w14:paraId="234EE48C">
            <w:pPr>
              <w:pStyle w:val="6"/>
              <w:ind w:firstLine="0" w:firstLineChars="0"/>
              <w:jc w:val="center"/>
              <w:rPr>
                <w:rFonts w:hint="eastAsia" w:ascii="仿宋" w:hAnsi="仿宋" w:eastAsia="仿宋"/>
                <w:color w:val="auto"/>
                <w:sz w:val="24"/>
                <w:highlight w:val="none"/>
              </w:rPr>
            </w:pPr>
          </w:p>
        </w:tc>
        <w:tc>
          <w:tcPr>
            <w:tcW w:w="2261" w:type="dxa"/>
            <w:noWrap w:val="0"/>
            <w:vAlign w:val="center"/>
          </w:tcPr>
          <w:p w14:paraId="3F559FE4">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下路床</w:t>
            </w:r>
          </w:p>
        </w:tc>
        <w:tc>
          <w:tcPr>
            <w:tcW w:w="3022" w:type="dxa"/>
            <w:noWrap w:val="0"/>
            <w:vAlign w:val="center"/>
          </w:tcPr>
          <w:p w14:paraId="0C2A7E15">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30～80</w:t>
            </w:r>
          </w:p>
        </w:tc>
        <w:tc>
          <w:tcPr>
            <w:tcW w:w="3023" w:type="dxa"/>
            <w:noWrap w:val="0"/>
            <w:vAlign w:val="center"/>
          </w:tcPr>
          <w:p w14:paraId="64FEDB71">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≥95</w:t>
            </w:r>
          </w:p>
        </w:tc>
      </w:tr>
      <w:tr w14:paraId="365EC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852" w:type="dxa"/>
            <w:vMerge w:val="continue"/>
            <w:noWrap w:val="0"/>
            <w:vAlign w:val="center"/>
          </w:tcPr>
          <w:p w14:paraId="6C1AA83A">
            <w:pPr>
              <w:pStyle w:val="6"/>
              <w:ind w:firstLine="0" w:firstLineChars="0"/>
              <w:jc w:val="center"/>
              <w:rPr>
                <w:rFonts w:hint="eastAsia" w:ascii="仿宋" w:hAnsi="仿宋" w:eastAsia="仿宋"/>
                <w:color w:val="auto"/>
                <w:sz w:val="24"/>
                <w:highlight w:val="none"/>
              </w:rPr>
            </w:pPr>
          </w:p>
        </w:tc>
        <w:tc>
          <w:tcPr>
            <w:tcW w:w="2261" w:type="dxa"/>
            <w:noWrap w:val="0"/>
            <w:vAlign w:val="center"/>
          </w:tcPr>
          <w:p w14:paraId="58ED7F8A">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上路堤</w:t>
            </w:r>
          </w:p>
        </w:tc>
        <w:tc>
          <w:tcPr>
            <w:tcW w:w="3022" w:type="dxa"/>
            <w:noWrap w:val="0"/>
            <w:vAlign w:val="center"/>
          </w:tcPr>
          <w:p w14:paraId="5CC9EFE4">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80～150</w:t>
            </w:r>
          </w:p>
        </w:tc>
        <w:tc>
          <w:tcPr>
            <w:tcW w:w="3023" w:type="dxa"/>
            <w:noWrap w:val="0"/>
            <w:vAlign w:val="center"/>
          </w:tcPr>
          <w:p w14:paraId="4D6BE608">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≥94</w:t>
            </w:r>
          </w:p>
        </w:tc>
      </w:tr>
      <w:tr w14:paraId="0ADF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852" w:type="dxa"/>
            <w:vMerge w:val="continue"/>
            <w:noWrap w:val="0"/>
            <w:vAlign w:val="center"/>
          </w:tcPr>
          <w:p w14:paraId="0076CF2B">
            <w:pPr>
              <w:pStyle w:val="6"/>
              <w:ind w:firstLine="0" w:firstLineChars="0"/>
              <w:jc w:val="center"/>
              <w:rPr>
                <w:rFonts w:hint="eastAsia" w:ascii="仿宋" w:hAnsi="仿宋" w:eastAsia="仿宋"/>
                <w:color w:val="auto"/>
                <w:sz w:val="24"/>
                <w:highlight w:val="none"/>
              </w:rPr>
            </w:pPr>
          </w:p>
        </w:tc>
        <w:tc>
          <w:tcPr>
            <w:tcW w:w="2261" w:type="dxa"/>
            <w:noWrap w:val="0"/>
            <w:vAlign w:val="center"/>
          </w:tcPr>
          <w:p w14:paraId="57F4985B">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下路堤</w:t>
            </w:r>
          </w:p>
        </w:tc>
        <w:tc>
          <w:tcPr>
            <w:tcW w:w="3022" w:type="dxa"/>
            <w:noWrap w:val="0"/>
            <w:vAlign w:val="center"/>
          </w:tcPr>
          <w:p w14:paraId="6D202A50">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150以下</w:t>
            </w:r>
          </w:p>
        </w:tc>
        <w:tc>
          <w:tcPr>
            <w:tcW w:w="3023" w:type="dxa"/>
            <w:noWrap w:val="0"/>
            <w:vAlign w:val="center"/>
          </w:tcPr>
          <w:p w14:paraId="6C2DA149">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≥92</w:t>
            </w:r>
          </w:p>
        </w:tc>
      </w:tr>
      <w:tr w14:paraId="7461C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jc w:val="center"/>
        </w:trPr>
        <w:tc>
          <w:tcPr>
            <w:tcW w:w="3113" w:type="dxa"/>
            <w:gridSpan w:val="2"/>
            <w:noWrap w:val="0"/>
            <w:vAlign w:val="center"/>
          </w:tcPr>
          <w:p w14:paraId="03E15773">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零填及挖方路基</w:t>
            </w:r>
          </w:p>
        </w:tc>
        <w:tc>
          <w:tcPr>
            <w:tcW w:w="3022" w:type="dxa"/>
            <w:noWrap w:val="0"/>
            <w:vAlign w:val="center"/>
          </w:tcPr>
          <w:p w14:paraId="52D613AD">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0～80</w:t>
            </w:r>
          </w:p>
        </w:tc>
        <w:tc>
          <w:tcPr>
            <w:tcW w:w="3023" w:type="dxa"/>
            <w:noWrap w:val="0"/>
            <w:vAlign w:val="center"/>
          </w:tcPr>
          <w:p w14:paraId="28A7D082">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≥95</w:t>
            </w:r>
          </w:p>
        </w:tc>
      </w:tr>
    </w:tbl>
    <w:p w14:paraId="2863CAE7">
      <w:pPr>
        <w:spacing w:line="360" w:lineRule="auto"/>
        <w:ind w:firstLine="560"/>
        <w:jc w:val="center"/>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  路基填料最小承载比和最大粒径要求</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1"/>
        <w:gridCol w:w="1473"/>
        <w:gridCol w:w="2145"/>
        <w:gridCol w:w="2145"/>
        <w:gridCol w:w="2145"/>
      </w:tblGrid>
      <w:tr w14:paraId="42750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exact"/>
          <w:jc w:val="center"/>
        </w:trPr>
        <w:tc>
          <w:tcPr>
            <w:tcW w:w="2844" w:type="dxa"/>
            <w:gridSpan w:val="2"/>
            <w:noWrap w:val="0"/>
            <w:vAlign w:val="center"/>
          </w:tcPr>
          <w:p w14:paraId="77573EEC">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项  目  分  类</w:t>
            </w:r>
          </w:p>
        </w:tc>
        <w:tc>
          <w:tcPr>
            <w:tcW w:w="2145" w:type="dxa"/>
            <w:noWrap w:val="0"/>
            <w:vAlign w:val="center"/>
          </w:tcPr>
          <w:p w14:paraId="08ECAD67">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路面底面以下深度</w:t>
            </w:r>
          </w:p>
          <w:p w14:paraId="15231296">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(cm)</w:t>
            </w:r>
          </w:p>
        </w:tc>
        <w:tc>
          <w:tcPr>
            <w:tcW w:w="2145" w:type="dxa"/>
            <w:noWrap w:val="0"/>
            <w:vAlign w:val="center"/>
          </w:tcPr>
          <w:p w14:paraId="07ADB578">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填料最小承载比(CBR)( % )</w:t>
            </w:r>
          </w:p>
        </w:tc>
        <w:tc>
          <w:tcPr>
            <w:tcW w:w="2145" w:type="dxa"/>
            <w:noWrap w:val="0"/>
            <w:vAlign w:val="center"/>
          </w:tcPr>
          <w:p w14:paraId="7D892B8B">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填料最大粒径</w:t>
            </w:r>
          </w:p>
          <w:p w14:paraId="46E967CD">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(cm)</w:t>
            </w:r>
          </w:p>
        </w:tc>
      </w:tr>
      <w:tr w14:paraId="7FC5A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71" w:type="dxa"/>
            <w:vMerge w:val="restart"/>
            <w:noWrap w:val="0"/>
            <w:vAlign w:val="center"/>
          </w:tcPr>
          <w:p w14:paraId="30A0B699">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填</w:t>
            </w:r>
          </w:p>
          <w:p w14:paraId="411EEB9B">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方</w:t>
            </w:r>
          </w:p>
          <w:p w14:paraId="1597F995">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路</w:t>
            </w:r>
          </w:p>
          <w:p w14:paraId="63144CEA">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基</w:t>
            </w:r>
          </w:p>
        </w:tc>
        <w:tc>
          <w:tcPr>
            <w:tcW w:w="1473" w:type="dxa"/>
            <w:noWrap w:val="0"/>
            <w:vAlign w:val="center"/>
          </w:tcPr>
          <w:p w14:paraId="11FFA7CC">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上路床</w:t>
            </w:r>
          </w:p>
        </w:tc>
        <w:tc>
          <w:tcPr>
            <w:tcW w:w="2145" w:type="dxa"/>
            <w:noWrap w:val="0"/>
            <w:vAlign w:val="center"/>
          </w:tcPr>
          <w:p w14:paraId="04D111F0">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0～30</w:t>
            </w:r>
          </w:p>
        </w:tc>
        <w:tc>
          <w:tcPr>
            <w:tcW w:w="2145" w:type="dxa"/>
            <w:noWrap w:val="0"/>
            <w:vAlign w:val="center"/>
          </w:tcPr>
          <w:p w14:paraId="294D8946">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6</w:t>
            </w:r>
          </w:p>
        </w:tc>
        <w:tc>
          <w:tcPr>
            <w:tcW w:w="2145" w:type="dxa"/>
            <w:noWrap w:val="0"/>
            <w:vAlign w:val="center"/>
          </w:tcPr>
          <w:p w14:paraId="6CDEA91E">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10</w:t>
            </w:r>
          </w:p>
        </w:tc>
      </w:tr>
      <w:tr w14:paraId="05DA2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71" w:type="dxa"/>
            <w:vMerge w:val="continue"/>
            <w:noWrap w:val="0"/>
            <w:vAlign w:val="center"/>
          </w:tcPr>
          <w:p w14:paraId="591DD703">
            <w:pPr>
              <w:pStyle w:val="6"/>
              <w:ind w:firstLine="0" w:firstLineChars="0"/>
              <w:jc w:val="center"/>
              <w:rPr>
                <w:rFonts w:hint="eastAsia" w:ascii="仿宋" w:hAnsi="仿宋" w:eastAsia="仿宋"/>
                <w:color w:val="auto"/>
                <w:sz w:val="24"/>
                <w:highlight w:val="none"/>
              </w:rPr>
            </w:pPr>
          </w:p>
        </w:tc>
        <w:tc>
          <w:tcPr>
            <w:tcW w:w="1473" w:type="dxa"/>
            <w:noWrap w:val="0"/>
            <w:vAlign w:val="center"/>
          </w:tcPr>
          <w:p w14:paraId="4221F118">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下路床</w:t>
            </w:r>
          </w:p>
        </w:tc>
        <w:tc>
          <w:tcPr>
            <w:tcW w:w="2145" w:type="dxa"/>
            <w:noWrap w:val="0"/>
            <w:vAlign w:val="center"/>
          </w:tcPr>
          <w:p w14:paraId="6AA1C3CC">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30～80</w:t>
            </w:r>
          </w:p>
        </w:tc>
        <w:tc>
          <w:tcPr>
            <w:tcW w:w="2145" w:type="dxa"/>
            <w:noWrap w:val="0"/>
            <w:vAlign w:val="center"/>
          </w:tcPr>
          <w:p w14:paraId="2ED10492">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4</w:t>
            </w:r>
          </w:p>
        </w:tc>
        <w:tc>
          <w:tcPr>
            <w:tcW w:w="2145" w:type="dxa"/>
            <w:noWrap w:val="0"/>
            <w:vAlign w:val="center"/>
          </w:tcPr>
          <w:p w14:paraId="7E7F676B">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10</w:t>
            </w:r>
          </w:p>
        </w:tc>
      </w:tr>
      <w:tr w14:paraId="4D52A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71" w:type="dxa"/>
            <w:vMerge w:val="continue"/>
            <w:noWrap w:val="0"/>
            <w:vAlign w:val="center"/>
          </w:tcPr>
          <w:p w14:paraId="2734E876">
            <w:pPr>
              <w:pStyle w:val="6"/>
              <w:ind w:firstLine="0" w:firstLineChars="0"/>
              <w:jc w:val="center"/>
              <w:rPr>
                <w:rFonts w:hint="eastAsia" w:ascii="仿宋" w:hAnsi="仿宋" w:eastAsia="仿宋"/>
                <w:color w:val="auto"/>
                <w:sz w:val="24"/>
                <w:highlight w:val="none"/>
              </w:rPr>
            </w:pPr>
          </w:p>
        </w:tc>
        <w:tc>
          <w:tcPr>
            <w:tcW w:w="1473" w:type="dxa"/>
            <w:noWrap w:val="0"/>
            <w:vAlign w:val="center"/>
          </w:tcPr>
          <w:p w14:paraId="052A1004">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上路堤</w:t>
            </w:r>
          </w:p>
        </w:tc>
        <w:tc>
          <w:tcPr>
            <w:tcW w:w="2145" w:type="dxa"/>
            <w:noWrap w:val="0"/>
            <w:vAlign w:val="center"/>
          </w:tcPr>
          <w:p w14:paraId="1A58137E">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80～150</w:t>
            </w:r>
          </w:p>
        </w:tc>
        <w:tc>
          <w:tcPr>
            <w:tcW w:w="2145" w:type="dxa"/>
            <w:noWrap w:val="0"/>
            <w:vAlign w:val="center"/>
          </w:tcPr>
          <w:p w14:paraId="7AFF19B8">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3</w:t>
            </w:r>
          </w:p>
        </w:tc>
        <w:tc>
          <w:tcPr>
            <w:tcW w:w="2145" w:type="dxa"/>
            <w:noWrap w:val="0"/>
            <w:vAlign w:val="center"/>
          </w:tcPr>
          <w:p w14:paraId="5A0DD432">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15</w:t>
            </w:r>
          </w:p>
        </w:tc>
      </w:tr>
      <w:tr w14:paraId="06FE2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71" w:type="dxa"/>
            <w:vMerge w:val="continue"/>
            <w:noWrap w:val="0"/>
            <w:vAlign w:val="center"/>
          </w:tcPr>
          <w:p w14:paraId="55E49193">
            <w:pPr>
              <w:pStyle w:val="6"/>
              <w:ind w:firstLine="0" w:firstLineChars="0"/>
              <w:jc w:val="center"/>
              <w:rPr>
                <w:rFonts w:hint="eastAsia" w:ascii="仿宋" w:hAnsi="仿宋" w:eastAsia="仿宋"/>
                <w:color w:val="auto"/>
                <w:sz w:val="24"/>
                <w:highlight w:val="none"/>
              </w:rPr>
            </w:pPr>
          </w:p>
        </w:tc>
        <w:tc>
          <w:tcPr>
            <w:tcW w:w="1473" w:type="dxa"/>
            <w:noWrap w:val="0"/>
            <w:vAlign w:val="center"/>
          </w:tcPr>
          <w:p w14:paraId="6F1B94BD">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下路堤</w:t>
            </w:r>
          </w:p>
        </w:tc>
        <w:tc>
          <w:tcPr>
            <w:tcW w:w="2145" w:type="dxa"/>
            <w:noWrap w:val="0"/>
            <w:vAlign w:val="center"/>
          </w:tcPr>
          <w:p w14:paraId="6627E2A5">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150以下</w:t>
            </w:r>
          </w:p>
        </w:tc>
        <w:tc>
          <w:tcPr>
            <w:tcW w:w="2145" w:type="dxa"/>
            <w:noWrap w:val="0"/>
            <w:vAlign w:val="center"/>
          </w:tcPr>
          <w:p w14:paraId="3CBE1DBE">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2</w:t>
            </w:r>
          </w:p>
        </w:tc>
        <w:tc>
          <w:tcPr>
            <w:tcW w:w="2145" w:type="dxa"/>
            <w:noWrap w:val="0"/>
            <w:vAlign w:val="center"/>
          </w:tcPr>
          <w:p w14:paraId="0E058AAF">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15</w:t>
            </w:r>
          </w:p>
        </w:tc>
      </w:tr>
      <w:tr w14:paraId="1DE8F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2844" w:type="dxa"/>
            <w:gridSpan w:val="2"/>
            <w:vMerge w:val="restart"/>
            <w:noWrap w:val="0"/>
            <w:vAlign w:val="center"/>
          </w:tcPr>
          <w:p w14:paraId="71DBE721">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零填及挖方路基</w:t>
            </w:r>
          </w:p>
        </w:tc>
        <w:tc>
          <w:tcPr>
            <w:tcW w:w="2145" w:type="dxa"/>
            <w:noWrap w:val="0"/>
            <w:vAlign w:val="center"/>
          </w:tcPr>
          <w:p w14:paraId="7DA4E7EC">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0～30</w:t>
            </w:r>
          </w:p>
        </w:tc>
        <w:tc>
          <w:tcPr>
            <w:tcW w:w="2145" w:type="dxa"/>
            <w:noWrap w:val="0"/>
            <w:vAlign w:val="center"/>
          </w:tcPr>
          <w:p w14:paraId="193AE853">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6</w:t>
            </w:r>
          </w:p>
        </w:tc>
        <w:tc>
          <w:tcPr>
            <w:tcW w:w="2145" w:type="dxa"/>
            <w:noWrap w:val="0"/>
            <w:vAlign w:val="center"/>
          </w:tcPr>
          <w:p w14:paraId="1D300DD9">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10</w:t>
            </w:r>
          </w:p>
        </w:tc>
      </w:tr>
      <w:tr w14:paraId="418E3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2844" w:type="dxa"/>
            <w:gridSpan w:val="2"/>
            <w:vMerge w:val="continue"/>
            <w:noWrap w:val="0"/>
            <w:vAlign w:val="center"/>
          </w:tcPr>
          <w:p w14:paraId="1BDF0C30">
            <w:pPr>
              <w:pStyle w:val="6"/>
              <w:ind w:firstLine="0" w:firstLineChars="0"/>
              <w:jc w:val="center"/>
              <w:rPr>
                <w:rFonts w:hint="eastAsia" w:ascii="仿宋" w:hAnsi="仿宋" w:eastAsia="仿宋"/>
                <w:color w:val="auto"/>
                <w:sz w:val="24"/>
                <w:highlight w:val="none"/>
              </w:rPr>
            </w:pPr>
          </w:p>
        </w:tc>
        <w:tc>
          <w:tcPr>
            <w:tcW w:w="2145" w:type="dxa"/>
            <w:noWrap w:val="0"/>
            <w:vAlign w:val="center"/>
          </w:tcPr>
          <w:p w14:paraId="0B51BAE5">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30～80</w:t>
            </w:r>
          </w:p>
        </w:tc>
        <w:tc>
          <w:tcPr>
            <w:tcW w:w="2145" w:type="dxa"/>
            <w:noWrap w:val="0"/>
            <w:vAlign w:val="center"/>
          </w:tcPr>
          <w:p w14:paraId="0BC50B69">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4</w:t>
            </w:r>
          </w:p>
        </w:tc>
        <w:tc>
          <w:tcPr>
            <w:tcW w:w="2145" w:type="dxa"/>
            <w:noWrap w:val="0"/>
            <w:vAlign w:val="center"/>
          </w:tcPr>
          <w:p w14:paraId="7EC1D10D">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10</w:t>
            </w:r>
          </w:p>
        </w:tc>
      </w:tr>
    </w:tbl>
    <w:p w14:paraId="77AD5F23">
      <w:pPr>
        <w:spacing w:line="520" w:lineRule="exact"/>
        <w:ind w:firstLine="480"/>
        <w:rPr>
          <w:rFonts w:hint="eastAsia" w:ascii="仿宋" w:hAnsi="仿宋" w:eastAsia="仿宋" w:cs="仿宋"/>
          <w:color w:val="auto"/>
          <w:szCs w:val="28"/>
          <w:highlight w:val="none"/>
          <w:lang w:eastAsia="zh-CN"/>
        </w:rPr>
      </w:pPr>
      <w:r>
        <w:rPr>
          <w:rFonts w:hint="eastAsia" w:ascii="仿宋_GB2312" w:hAnsi="仿宋_GB2312" w:eastAsia="仿宋_GB2312" w:cs="仿宋_GB2312"/>
          <w:color w:val="auto"/>
          <w:sz w:val="28"/>
          <w:szCs w:val="28"/>
          <w:highlight w:val="none"/>
        </w:rPr>
        <w:t xml:space="preserve"> </w:t>
      </w:r>
      <w:r>
        <w:rPr>
          <w:rFonts w:hint="eastAsia" w:ascii="仿宋" w:hAnsi="仿宋" w:eastAsia="仿宋" w:cs="仿宋"/>
          <w:color w:val="auto"/>
          <w:szCs w:val="28"/>
          <w:highlight w:val="none"/>
          <w:lang w:eastAsia="zh-CN"/>
        </w:rPr>
        <w:t xml:space="preserve"> 除满足正常路床填筑粒径、压实度、CBR要求外，路床回弹模量应大于40Mpa。</w:t>
      </w:r>
    </w:p>
    <w:p w14:paraId="49AD3F8B">
      <w:pPr>
        <w:ind w:firstLine="560"/>
        <w:rPr>
          <w:rFonts w:hint="eastAsia" w:ascii="仿宋" w:hAnsi="仿宋" w:eastAsia="仿宋" w:cs="仿宋"/>
          <w:color w:val="auto"/>
          <w:szCs w:val="28"/>
          <w:highlight w:val="none"/>
          <w:lang w:eastAsia="zh-CN"/>
        </w:rPr>
      </w:pPr>
      <w:r>
        <w:rPr>
          <w:rFonts w:hint="eastAsia" w:ascii="仿宋" w:hAnsi="仿宋" w:eastAsia="仿宋" w:cs="仿宋"/>
          <w:color w:val="auto"/>
          <w:szCs w:val="28"/>
          <w:highlight w:val="none"/>
          <w:lang w:eastAsia="zh-CN"/>
        </w:rPr>
        <w:t>（</w:t>
      </w:r>
      <w:r>
        <w:rPr>
          <w:rFonts w:hint="eastAsia" w:ascii="仿宋" w:hAnsi="仿宋" w:eastAsia="仿宋" w:cs="仿宋"/>
          <w:color w:val="auto"/>
          <w:szCs w:val="28"/>
          <w:highlight w:val="none"/>
          <w:lang w:val="en-US" w:eastAsia="zh-CN"/>
        </w:rPr>
        <w:t>2</w:t>
      </w:r>
      <w:r>
        <w:rPr>
          <w:rFonts w:hint="eastAsia" w:ascii="仿宋" w:hAnsi="仿宋" w:eastAsia="仿宋" w:cs="仿宋"/>
          <w:color w:val="auto"/>
          <w:szCs w:val="28"/>
          <w:highlight w:val="none"/>
          <w:lang w:eastAsia="zh-CN"/>
        </w:rPr>
        <w:t>）路堤设计</w:t>
      </w:r>
    </w:p>
    <w:p w14:paraId="131B17BD">
      <w:pPr>
        <w:ind w:firstLine="560"/>
        <w:rPr>
          <w:rFonts w:hint="eastAsia" w:ascii="仿宋" w:hAnsi="仿宋" w:eastAsia="仿宋" w:cs="仿宋"/>
          <w:color w:val="auto"/>
          <w:szCs w:val="28"/>
          <w:highlight w:val="none"/>
          <w:lang w:eastAsia="zh-CN"/>
        </w:rPr>
      </w:pPr>
      <w:r>
        <w:rPr>
          <w:rFonts w:hint="eastAsia" w:ascii="仿宋" w:hAnsi="仿宋" w:eastAsia="仿宋" w:cs="仿宋"/>
          <w:color w:val="auto"/>
          <w:szCs w:val="28"/>
          <w:highlight w:val="none"/>
          <w:lang w:eastAsia="zh-CN"/>
        </w:rPr>
        <w:t>全线路堤可利用挖方中的砂砾石或角砾土等符合要求的材料填筑，液限大于50、塑性指数大于26的土以及含水量超过规定要求的土不得用作路基填料。粗粒土填料的最大粒径不应超过压实层厚度的2/3，以确保工程施工。路基填料最小强度要求如下表：</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8"/>
        <w:gridCol w:w="1480"/>
        <w:gridCol w:w="3240"/>
        <w:gridCol w:w="2880"/>
      </w:tblGrid>
      <w:tr w14:paraId="2E080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0" w:hRule="atLeast"/>
          <w:jc w:val="center"/>
        </w:trPr>
        <w:tc>
          <w:tcPr>
            <w:tcW w:w="2988" w:type="dxa"/>
            <w:gridSpan w:val="2"/>
            <w:noWrap w:val="0"/>
            <w:vAlign w:val="center"/>
          </w:tcPr>
          <w:p w14:paraId="62423285">
            <w:pPr>
              <w:pStyle w:val="58"/>
              <w:rPr>
                <w:rFonts w:hint="eastAsia"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项目分类</w:t>
            </w:r>
          </w:p>
        </w:tc>
        <w:tc>
          <w:tcPr>
            <w:tcW w:w="3240" w:type="dxa"/>
            <w:noWrap w:val="0"/>
            <w:vAlign w:val="center"/>
          </w:tcPr>
          <w:p w14:paraId="71F2544D">
            <w:pPr>
              <w:pStyle w:val="58"/>
              <w:rPr>
                <w:rFonts w:hint="eastAsia"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路面底面以下深度</w:t>
            </w:r>
          </w:p>
          <w:p w14:paraId="46A58FBF">
            <w:pPr>
              <w:pStyle w:val="58"/>
              <w:rPr>
                <w:rFonts w:hint="eastAsia"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（厘米）</w:t>
            </w:r>
          </w:p>
        </w:tc>
        <w:tc>
          <w:tcPr>
            <w:tcW w:w="2880" w:type="dxa"/>
            <w:noWrap w:val="0"/>
            <w:vAlign w:val="center"/>
          </w:tcPr>
          <w:p w14:paraId="69C645C1">
            <w:pPr>
              <w:pStyle w:val="58"/>
              <w:rPr>
                <w:rFonts w:hint="eastAsia"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填料最小强度</w:t>
            </w:r>
          </w:p>
          <w:p w14:paraId="5F5796C3">
            <w:pPr>
              <w:pStyle w:val="58"/>
              <w:rPr>
                <w:rFonts w:hint="eastAsia"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CBR（%）</w:t>
            </w:r>
          </w:p>
        </w:tc>
      </w:tr>
      <w:tr w14:paraId="22F33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 w:hRule="atLeast"/>
          <w:jc w:val="center"/>
        </w:trPr>
        <w:tc>
          <w:tcPr>
            <w:tcW w:w="1508" w:type="dxa"/>
            <w:vMerge w:val="restart"/>
            <w:noWrap w:val="0"/>
            <w:vAlign w:val="center"/>
          </w:tcPr>
          <w:p w14:paraId="1534C69E">
            <w:pPr>
              <w:pStyle w:val="58"/>
              <w:rPr>
                <w:rFonts w:hint="eastAsia"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填方路基</w:t>
            </w:r>
          </w:p>
        </w:tc>
        <w:tc>
          <w:tcPr>
            <w:tcW w:w="1480" w:type="dxa"/>
            <w:noWrap w:val="0"/>
            <w:vAlign w:val="center"/>
          </w:tcPr>
          <w:p w14:paraId="41844CFB">
            <w:pPr>
              <w:pStyle w:val="58"/>
              <w:rPr>
                <w:rFonts w:hint="eastAsia"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上路床</w:t>
            </w:r>
          </w:p>
        </w:tc>
        <w:tc>
          <w:tcPr>
            <w:tcW w:w="3240" w:type="dxa"/>
            <w:noWrap w:val="0"/>
            <w:vAlign w:val="center"/>
          </w:tcPr>
          <w:p w14:paraId="0E8EE6AB">
            <w:pPr>
              <w:pStyle w:val="58"/>
              <w:rPr>
                <w:rFonts w:hint="eastAsia"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0~30</w:t>
            </w:r>
          </w:p>
        </w:tc>
        <w:tc>
          <w:tcPr>
            <w:tcW w:w="2880" w:type="dxa"/>
            <w:noWrap w:val="0"/>
            <w:vAlign w:val="center"/>
          </w:tcPr>
          <w:p w14:paraId="7DA068DD">
            <w:pPr>
              <w:pStyle w:val="58"/>
              <w:rPr>
                <w:rFonts w:hint="eastAsia"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6</w:t>
            </w:r>
          </w:p>
        </w:tc>
      </w:tr>
      <w:tr w14:paraId="53F31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 w:hRule="atLeast"/>
          <w:jc w:val="center"/>
        </w:trPr>
        <w:tc>
          <w:tcPr>
            <w:tcW w:w="1508" w:type="dxa"/>
            <w:vMerge w:val="continue"/>
            <w:noWrap w:val="0"/>
            <w:vAlign w:val="center"/>
          </w:tcPr>
          <w:p w14:paraId="3B12F6B6">
            <w:pPr>
              <w:pStyle w:val="58"/>
              <w:rPr>
                <w:rFonts w:hint="eastAsia" w:ascii="Times New Roman" w:hAnsi="Times New Roman" w:eastAsia="仿宋" w:cs="Times New Roman"/>
                <w:color w:val="auto"/>
                <w:sz w:val="24"/>
                <w:highlight w:val="none"/>
              </w:rPr>
            </w:pPr>
          </w:p>
        </w:tc>
        <w:tc>
          <w:tcPr>
            <w:tcW w:w="1480" w:type="dxa"/>
            <w:noWrap w:val="0"/>
            <w:vAlign w:val="center"/>
          </w:tcPr>
          <w:p w14:paraId="482854C4">
            <w:pPr>
              <w:pStyle w:val="58"/>
              <w:rPr>
                <w:rFonts w:hint="eastAsia"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下路床</w:t>
            </w:r>
          </w:p>
        </w:tc>
        <w:tc>
          <w:tcPr>
            <w:tcW w:w="3240" w:type="dxa"/>
            <w:noWrap w:val="0"/>
            <w:vAlign w:val="center"/>
          </w:tcPr>
          <w:p w14:paraId="7D406481">
            <w:pPr>
              <w:pStyle w:val="58"/>
              <w:rPr>
                <w:rFonts w:hint="eastAsia"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30~80</w:t>
            </w:r>
          </w:p>
        </w:tc>
        <w:tc>
          <w:tcPr>
            <w:tcW w:w="2880" w:type="dxa"/>
            <w:noWrap w:val="0"/>
            <w:vAlign w:val="center"/>
          </w:tcPr>
          <w:p w14:paraId="00FAB498">
            <w:pPr>
              <w:pStyle w:val="58"/>
              <w:rPr>
                <w:rFonts w:hint="eastAsia"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4</w:t>
            </w:r>
          </w:p>
        </w:tc>
      </w:tr>
      <w:tr w14:paraId="41034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 w:hRule="atLeast"/>
          <w:jc w:val="center"/>
        </w:trPr>
        <w:tc>
          <w:tcPr>
            <w:tcW w:w="1508" w:type="dxa"/>
            <w:vMerge w:val="continue"/>
            <w:noWrap w:val="0"/>
            <w:vAlign w:val="center"/>
          </w:tcPr>
          <w:p w14:paraId="62A1899B">
            <w:pPr>
              <w:pStyle w:val="58"/>
              <w:rPr>
                <w:rFonts w:hint="eastAsia" w:ascii="Times New Roman" w:hAnsi="Times New Roman" w:eastAsia="仿宋" w:cs="Times New Roman"/>
                <w:color w:val="auto"/>
                <w:sz w:val="24"/>
                <w:highlight w:val="none"/>
              </w:rPr>
            </w:pPr>
          </w:p>
        </w:tc>
        <w:tc>
          <w:tcPr>
            <w:tcW w:w="1480" w:type="dxa"/>
            <w:noWrap w:val="0"/>
            <w:vAlign w:val="center"/>
          </w:tcPr>
          <w:p w14:paraId="445D1704">
            <w:pPr>
              <w:pStyle w:val="58"/>
              <w:rPr>
                <w:rFonts w:hint="eastAsia"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上路堤</w:t>
            </w:r>
          </w:p>
        </w:tc>
        <w:tc>
          <w:tcPr>
            <w:tcW w:w="3240" w:type="dxa"/>
            <w:noWrap w:val="0"/>
            <w:vAlign w:val="center"/>
          </w:tcPr>
          <w:p w14:paraId="56AC8CD2">
            <w:pPr>
              <w:pStyle w:val="58"/>
              <w:rPr>
                <w:rFonts w:hint="eastAsia"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80~150</w:t>
            </w:r>
          </w:p>
        </w:tc>
        <w:tc>
          <w:tcPr>
            <w:tcW w:w="2880" w:type="dxa"/>
            <w:noWrap w:val="0"/>
            <w:vAlign w:val="center"/>
          </w:tcPr>
          <w:p w14:paraId="18442473">
            <w:pPr>
              <w:pStyle w:val="58"/>
              <w:rPr>
                <w:rFonts w:hint="eastAsia"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3</w:t>
            </w:r>
          </w:p>
        </w:tc>
      </w:tr>
      <w:tr w14:paraId="27BE2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 w:hRule="atLeast"/>
          <w:jc w:val="center"/>
        </w:trPr>
        <w:tc>
          <w:tcPr>
            <w:tcW w:w="1508" w:type="dxa"/>
            <w:vMerge w:val="continue"/>
            <w:noWrap w:val="0"/>
            <w:vAlign w:val="center"/>
          </w:tcPr>
          <w:p w14:paraId="1F6F108E">
            <w:pPr>
              <w:pStyle w:val="58"/>
              <w:rPr>
                <w:rFonts w:hint="eastAsia" w:ascii="Times New Roman" w:hAnsi="Times New Roman" w:eastAsia="仿宋" w:cs="Times New Roman"/>
                <w:color w:val="auto"/>
                <w:sz w:val="24"/>
                <w:highlight w:val="none"/>
              </w:rPr>
            </w:pPr>
          </w:p>
        </w:tc>
        <w:tc>
          <w:tcPr>
            <w:tcW w:w="1480" w:type="dxa"/>
            <w:noWrap w:val="0"/>
            <w:vAlign w:val="center"/>
          </w:tcPr>
          <w:p w14:paraId="262D1A32">
            <w:pPr>
              <w:pStyle w:val="58"/>
              <w:rPr>
                <w:rFonts w:hint="eastAsia"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下路堤</w:t>
            </w:r>
          </w:p>
        </w:tc>
        <w:tc>
          <w:tcPr>
            <w:tcW w:w="3240" w:type="dxa"/>
            <w:noWrap w:val="0"/>
            <w:vAlign w:val="center"/>
          </w:tcPr>
          <w:p w14:paraId="7406225E">
            <w:pPr>
              <w:pStyle w:val="58"/>
              <w:rPr>
                <w:rFonts w:hint="eastAsia"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150以下</w:t>
            </w:r>
          </w:p>
        </w:tc>
        <w:tc>
          <w:tcPr>
            <w:tcW w:w="2880" w:type="dxa"/>
            <w:noWrap w:val="0"/>
            <w:vAlign w:val="center"/>
          </w:tcPr>
          <w:p w14:paraId="0582C7AC">
            <w:pPr>
              <w:pStyle w:val="58"/>
              <w:rPr>
                <w:rFonts w:hint="eastAsia"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2</w:t>
            </w:r>
          </w:p>
        </w:tc>
      </w:tr>
      <w:tr w14:paraId="3F396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 w:hRule="atLeast"/>
          <w:jc w:val="center"/>
        </w:trPr>
        <w:tc>
          <w:tcPr>
            <w:tcW w:w="2988" w:type="dxa"/>
            <w:gridSpan w:val="2"/>
            <w:vMerge w:val="restart"/>
            <w:noWrap w:val="0"/>
            <w:vAlign w:val="center"/>
          </w:tcPr>
          <w:p w14:paraId="44CB50F4">
            <w:pPr>
              <w:pStyle w:val="58"/>
              <w:rPr>
                <w:rFonts w:hint="eastAsia"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零填及路堑路床</w:t>
            </w:r>
          </w:p>
        </w:tc>
        <w:tc>
          <w:tcPr>
            <w:tcW w:w="3240" w:type="dxa"/>
            <w:noWrap w:val="0"/>
            <w:vAlign w:val="center"/>
          </w:tcPr>
          <w:p w14:paraId="66306042">
            <w:pPr>
              <w:pStyle w:val="58"/>
              <w:rPr>
                <w:rFonts w:hint="eastAsia"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0~30</w:t>
            </w:r>
          </w:p>
        </w:tc>
        <w:tc>
          <w:tcPr>
            <w:tcW w:w="2880" w:type="dxa"/>
            <w:noWrap w:val="0"/>
            <w:vAlign w:val="center"/>
          </w:tcPr>
          <w:p w14:paraId="1ABB6587">
            <w:pPr>
              <w:pStyle w:val="58"/>
              <w:rPr>
                <w:rFonts w:hint="eastAsia"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6</w:t>
            </w:r>
          </w:p>
        </w:tc>
      </w:tr>
      <w:tr w14:paraId="4D03A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 w:hRule="atLeast"/>
          <w:jc w:val="center"/>
        </w:trPr>
        <w:tc>
          <w:tcPr>
            <w:tcW w:w="2988" w:type="dxa"/>
            <w:gridSpan w:val="2"/>
            <w:vMerge w:val="continue"/>
            <w:noWrap w:val="0"/>
            <w:vAlign w:val="center"/>
          </w:tcPr>
          <w:p w14:paraId="34166023">
            <w:pPr>
              <w:pStyle w:val="58"/>
              <w:rPr>
                <w:rFonts w:hint="eastAsia" w:ascii="Times New Roman" w:hAnsi="Times New Roman" w:eastAsia="仿宋" w:cs="Times New Roman"/>
                <w:color w:val="auto"/>
                <w:sz w:val="24"/>
                <w:highlight w:val="none"/>
              </w:rPr>
            </w:pPr>
          </w:p>
        </w:tc>
        <w:tc>
          <w:tcPr>
            <w:tcW w:w="3240" w:type="dxa"/>
            <w:noWrap w:val="0"/>
            <w:vAlign w:val="center"/>
          </w:tcPr>
          <w:p w14:paraId="41966DA8">
            <w:pPr>
              <w:pStyle w:val="58"/>
              <w:rPr>
                <w:rFonts w:hint="eastAsia"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30~80</w:t>
            </w:r>
          </w:p>
        </w:tc>
        <w:tc>
          <w:tcPr>
            <w:tcW w:w="2880" w:type="dxa"/>
            <w:noWrap w:val="0"/>
            <w:vAlign w:val="center"/>
          </w:tcPr>
          <w:p w14:paraId="1FE36274">
            <w:pPr>
              <w:pStyle w:val="58"/>
              <w:rPr>
                <w:rFonts w:hint="eastAsia" w:ascii="Times New Roman" w:hAnsi="Times New Roman" w:eastAsia="仿宋" w:cs="Times New Roman"/>
                <w:color w:val="auto"/>
                <w:sz w:val="24"/>
                <w:highlight w:val="none"/>
              </w:rPr>
            </w:pPr>
            <w:r>
              <w:rPr>
                <w:rFonts w:hint="eastAsia" w:ascii="Times New Roman" w:hAnsi="Times New Roman" w:eastAsia="仿宋" w:cs="Times New Roman"/>
                <w:color w:val="auto"/>
                <w:sz w:val="24"/>
                <w:highlight w:val="none"/>
              </w:rPr>
              <w:t>4</w:t>
            </w:r>
          </w:p>
        </w:tc>
      </w:tr>
    </w:tbl>
    <w:p w14:paraId="656449BA">
      <w:pPr>
        <w:ind w:firstLine="560"/>
        <w:rPr>
          <w:rFonts w:hint="eastAsia" w:ascii="仿宋" w:hAnsi="仿宋" w:eastAsia="仿宋" w:cs="仿宋"/>
          <w:color w:val="auto"/>
          <w:szCs w:val="28"/>
          <w:highlight w:val="none"/>
          <w:lang w:eastAsia="zh-CN"/>
        </w:rPr>
      </w:pPr>
      <w:r>
        <w:rPr>
          <w:rFonts w:hint="eastAsia" w:ascii="仿宋" w:hAnsi="仿宋" w:eastAsia="仿宋" w:cs="仿宋"/>
          <w:color w:val="auto"/>
          <w:szCs w:val="28"/>
          <w:highlight w:val="none"/>
          <w:lang w:eastAsia="zh-CN"/>
        </w:rPr>
        <w:t>（</w:t>
      </w:r>
      <w:r>
        <w:rPr>
          <w:rFonts w:hint="eastAsia" w:ascii="仿宋" w:hAnsi="仿宋" w:eastAsia="仿宋" w:cs="仿宋"/>
          <w:color w:val="auto"/>
          <w:szCs w:val="28"/>
          <w:highlight w:val="none"/>
          <w:lang w:val="en-US" w:eastAsia="zh-CN"/>
        </w:rPr>
        <w:t>3</w:t>
      </w:r>
      <w:r>
        <w:rPr>
          <w:rFonts w:hint="eastAsia" w:ascii="仿宋" w:hAnsi="仿宋" w:eastAsia="仿宋" w:cs="仿宋"/>
          <w:color w:val="auto"/>
          <w:szCs w:val="28"/>
          <w:highlight w:val="none"/>
          <w:lang w:eastAsia="zh-CN"/>
        </w:rPr>
        <w:t>）路堑设计</w:t>
      </w:r>
    </w:p>
    <w:p w14:paraId="30A555BE">
      <w:pPr>
        <w:ind w:firstLine="560"/>
        <w:rPr>
          <w:rFonts w:hint="eastAsia" w:ascii="仿宋" w:hAnsi="仿宋" w:eastAsia="仿宋" w:cs="仿宋"/>
          <w:color w:val="auto"/>
          <w:szCs w:val="28"/>
          <w:highlight w:val="none"/>
          <w:lang w:eastAsia="zh-CN"/>
        </w:rPr>
      </w:pPr>
      <w:r>
        <w:rPr>
          <w:rFonts w:hint="eastAsia" w:ascii="仿宋" w:hAnsi="仿宋" w:eastAsia="仿宋" w:cs="仿宋"/>
          <w:color w:val="auto"/>
          <w:szCs w:val="28"/>
          <w:highlight w:val="none"/>
          <w:lang w:eastAsia="zh-CN"/>
        </w:rPr>
        <w:t>设计根据土石类别、密实程度，裂隙发育程度，挖方边坡高度及沿线自然稳定坡度等综合因素确定。根据现场踏勘，公路挖方高度较低，挖方边坡设计坡比详见路基设计</w:t>
      </w:r>
    </w:p>
    <w:p w14:paraId="22C20EAA">
      <w:pPr>
        <w:adjustRightInd w:val="0"/>
        <w:ind w:firstLine="562"/>
        <w:contextualSpacing/>
        <w:outlineLvl w:val="2"/>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lang w:val="en-US" w:eastAsia="zh-CN"/>
        </w:rPr>
        <w:t>8</w:t>
      </w:r>
      <w:r>
        <w:rPr>
          <w:rFonts w:hint="eastAsia" w:ascii="仿宋" w:hAnsi="仿宋" w:eastAsia="仿宋" w:cs="仿宋"/>
          <w:b/>
          <w:bCs/>
          <w:color w:val="auto"/>
          <w:szCs w:val="28"/>
          <w:highlight w:val="none"/>
        </w:rPr>
        <w:t>.</w:t>
      </w:r>
      <w:r>
        <w:rPr>
          <w:rFonts w:hint="eastAsia" w:ascii="仿宋" w:hAnsi="仿宋" w:eastAsia="仿宋" w:cs="仿宋"/>
          <w:b/>
          <w:bCs/>
          <w:color w:val="auto"/>
          <w:szCs w:val="28"/>
          <w:highlight w:val="none"/>
          <w:lang w:val="en-US" w:eastAsia="zh-CN"/>
        </w:rPr>
        <w:t>10</w:t>
      </w:r>
      <w:r>
        <w:rPr>
          <w:rFonts w:hint="eastAsia" w:ascii="仿宋" w:hAnsi="仿宋" w:eastAsia="仿宋" w:cs="仿宋"/>
          <w:b/>
          <w:bCs/>
          <w:color w:val="auto"/>
          <w:szCs w:val="28"/>
          <w:highlight w:val="none"/>
        </w:rPr>
        <w:t>.2水泥混凝</w:t>
      </w:r>
      <w:r>
        <w:rPr>
          <w:rFonts w:hint="eastAsia" w:ascii="仿宋" w:hAnsi="仿宋" w:eastAsia="仿宋" w:cs="仿宋"/>
          <w:b/>
          <w:bCs/>
          <w:color w:val="auto"/>
          <w:szCs w:val="28"/>
          <w:highlight w:val="none"/>
          <w:lang w:eastAsia="zh-CN"/>
        </w:rPr>
        <w:t>土</w:t>
      </w:r>
      <w:r>
        <w:rPr>
          <w:rFonts w:hint="eastAsia" w:ascii="仿宋" w:hAnsi="仿宋" w:eastAsia="仿宋" w:cs="仿宋"/>
          <w:b/>
          <w:bCs/>
          <w:color w:val="auto"/>
          <w:szCs w:val="28"/>
          <w:highlight w:val="none"/>
        </w:rPr>
        <w:t>面层施工要点</w:t>
      </w:r>
    </w:p>
    <w:p w14:paraId="15540A14">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本工程基层</w:t>
      </w:r>
      <w:r>
        <w:rPr>
          <w:rFonts w:hint="eastAsia" w:ascii="仿宋" w:hAnsi="仿宋" w:eastAsia="仿宋" w:cs="仿宋"/>
          <w:color w:val="auto"/>
          <w:szCs w:val="28"/>
          <w:highlight w:val="none"/>
          <w:lang w:eastAsia="zh-CN"/>
        </w:rPr>
        <w:t>采用</w:t>
      </w:r>
      <w:r>
        <w:rPr>
          <w:rFonts w:hint="eastAsia" w:ascii="仿宋" w:hAnsi="仿宋" w:eastAsia="仿宋" w:cs="仿宋"/>
          <w:color w:val="auto"/>
          <w:szCs w:val="28"/>
          <w:highlight w:val="none"/>
          <w:lang w:val="en-US" w:eastAsia="zh-CN"/>
        </w:rPr>
        <w:t>10cm级配碎石垫层</w:t>
      </w:r>
      <w:r>
        <w:rPr>
          <w:rFonts w:hint="eastAsia" w:ascii="仿宋" w:hAnsi="仿宋" w:eastAsia="仿宋" w:cs="仿宋"/>
          <w:color w:val="auto"/>
          <w:szCs w:val="28"/>
          <w:highlight w:val="none"/>
        </w:rPr>
        <w:t>，面层采用</w:t>
      </w:r>
      <w:r>
        <w:rPr>
          <w:rFonts w:hint="eastAsia" w:ascii="仿宋" w:hAnsi="仿宋" w:eastAsia="仿宋" w:cs="仿宋"/>
          <w:color w:val="auto"/>
          <w:szCs w:val="28"/>
          <w:highlight w:val="none"/>
          <w:lang w:val="en-US" w:eastAsia="zh-CN"/>
        </w:rPr>
        <w:t>20cm</w:t>
      </w:r>
      <w:r>
        <w:rPr>
          <w:rFonts w:hint="eastAsia" w:ascii="仿宋" w:hAnsi="仿宋" w:eastAsia="仿宋" w:cs="仿宋"/>
          <w:color w:val="auto"/>
          <w:szCs w:val="28"/>
          <w:highlight w:val="none"/>
        </w:rPr>
        <w:t>C30混凝土。</w:t>
      </w:r>
    </w:p>
    <w:p w14:paraId="7269F059">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水泥混凝土采用商品混凝土，其原材料及混合料的质量要求、生产及运输应符合重庆市现行规范的规定。</w:t>
      </w:r>
    </w:p>
    <w:p w14:paraId="0E14E362">
      <w:pPr>
        <w:pStyle w:val="29"/>
        <w:ind w:firstLine="560" w:firstLineChars="20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（1）</w:t>
      </w:r>
      <w:r>
        <w:rPr>
          <w:rFonts w:hint="eastAsia" w:ascii="仿宋" w:hAnsi="仿宋" w:eastAsia="仿宋" w:cs="仿宋"/>
          <w:color w:val="auto"/>
          <w:kern w:val="2"/>
          <w:sz w:val="28"/>
          <w:szCs w:val="28"/>
          <w:highlight w:val="none"/>
          <w:lang w:eastAsia="zh-CN"/>
        </w:rPr>
        <w:t>级配碎石垫层</w:t>
      </w:r>
      <w:r>
        <w:rPr>
          <w:rFonts w:hint="eastAsia" w:ascii="仿宋" w:hAnsi="仿宋" w:eastAsia="仿宋" w:cs="仿宋"/>
          <w:color w:val="auto"/>
          <w:kern w:val="2"/>
          <w:sz w:val="28"/>
          <w:szCs w:val="28"/>
          <w:highlight w:val="none"/>
        </w:rPr>
        <w:t>质量标准</w:t>
      </w:r>
    </w:p>
    <w:p w14:paraId="0C566593">
      <w:pPr>
        <w:pStyle w:val="29"/>
        <w:ind w:firstLine="560" w:firstLineChars="200"/>
        <w:rPr>
          <w:rFonts w:hint="eastAsia" w:ascii="仿宋" w:hAnsi="仿宋" w:eastAsia="仿宋" w:cs="仿宋"/>
          <w:color w:val="auto"/>
          <w:kern w:val="2"/>
          <w:sz w:val="28"/>
          <w:szCs w:val="28"/>
          <w:highlight w:val="none"/>
          <w:lang w:eastAsia="zh-CN"/>
        </w:rPr>
      </w:pPr>
      <w:r>
        <w:rPr>
          <w:rFonts w:hint="eastAsia" w:ascii="仿宋" w:hAnsi="仿宋" w:eastAsia="仿宋" w:cs="仿宋"/>
          <w:color w:val="auto"/>
          <w:kern w:val="2"/>
          <w:sz w:val="28"/>
          <w:szCs w:val="28"/>
          <w:highlight w:val="none"/>
          <w:lang w:eastAsia="zh-CN"/>
        </w:rPr>
        <w:t>①质量标准</w:t>
      </w:r>
    </w:p>
    <w:p w14:paraId="7038128C">
      <w:pPr>
        <w:pStyle w:val="29"/>
        <w:ind w:firstLine="560" w:firstLineChars="200"/>
        <w:rPr>
          <w:rFonts w:hint="eastAsia" w:ascii="仿宋" w:hAnsi="仿宋" w:eastAsia="仿宋" w:cs="仿宋"/>
          <w:color w:val="auto"/>
          <w:kern w:val="2"/>
          <w:sz w:val="28"/>
          <w:szCs w:val="28"/>
          <w:highlight w:val="none"/>
          <w:lang w:eastAsia="zh-CN"/>
        </w:rPr>
      </w:pPr>
      <w:r>
        <w:rPr>
          <w:rFonts w:hint="eastAsia" w:ascii="仿宋" w:hAnsi="仿宋" w:eastAsia="仿宋" w:cs="仿宋"/>
          <w:color w:val="auto"/>
          <w:kern w:val="2"/>
          <w:sz w:val="28"/>
          <w:szCs w:val="28"/>
          <w:highlight w:val="none"/>
          <w:lang w:eastAsia="zh-CN"/>
        </w:rPr>
        <w:t>干密度（g/cm3）：≥2.1</w:t>
      </w:r>
    </w:p>
    <w:p w14:paraId="02ECCDB0">
      <w:pPr>
        <w:pStyle w:val="29"/>
        <w:ind w:firstLine="560" w:firstLineChars="200"/>
        <w:rPr>
          <w:rFonts w:hint="eastAsia" w:ascii="仿宋" w:hAnsi="仿宋" w:eastAsia="仿宋" w:cs="仿宋"/>
          <w:color w:val="auto"/>
          <w:kern w:val="2"/>
          <w:sz w:val="28"/>
          <w:szCs w:val="28"/>
          <w:highlight w:val="none"/>
          <w:lang w:eastAsia="zh-CN"/>
        </w:rPr>
      </w:pPr>
      <w:r>
        <w:rPr>
          <w:rFonts w:hint="eastAsia" w:ascii="仿宋" w:hAnsi="仿宋" w:eastAsia="仿宋" w:cs="仿宋"/>
          <w:color w:val="auto"/>
          <w:kern w:val="2"/>
          <w:sz w:val="28"/>
          <w:szCs w:val="28"/>
          <w:highlight w:val="none"/>
          <w:lang w:eastAsia="zh-CN"/>
        </w:rPr>
        <w:t>厚度：；-20mm（其他道路）</w:t>
      </w:r>
    </w:p>
    <w:p w14:paraId="00363E75">
      <w:pPr>
        <w:pStyle w:val="29"/>
        <w:ind w:firstLine="560" w:firstLineChars="200"/>
        <w:rPr>
          <w:rFonts w:hint="eastAsia" w:ascii="仿宋" w:hAnsi="仿宋" w:eastAsia="仿宋" w:cs="仿宋"/>
          <w:color w:val="auto"/>
          <w:kern w:val="2"/>
          <w:sz w:val="28"/>
          <w:szCs w:val="28"/>
          <w:highlight w:val="none"/>
          <w:lang w:eastAsia="zh-CN"/>
        </w:rPr>
      </w:pPr>
      <w:r>
        <w:rPr>
          <w:rFonts w:hint="eastAsia" w:ascii="仿宋" w:hAnsi="仿宋" w:eastAsia="仿宋" w:cs="仿宋"/>
          <w:color w:val="auto"/>
          <w:kern w:val="2"/>
          <w:sz w:val="28"/>
          <w:szCs w:val="28"/>
          <w:highlight w:val="none"/>
          <w:lang w:eastAsia="zh-CN"/>
        </w:rPr>
        <w:t>平整度：≤20mm（其他道路）</w:t>
      </w:r>
    </w:p>
    <w:p w14:paraId="13A3FD9A">
      <w:pPr>
        <w:pStyle w:val="29"/>
        <w:ind w:firstLine="560" w:firstLineChars="200"/>
        <w:rPr>
          <w:rFonts w:hint="eastAsia" w:ascii="仿宋" w:hAnsi="仿宋" w:eastAsia="仿宋" w:cs="仿宋"/>
          <w:color w:val="auto"/>
          <w:kern w:val="2"/>
          <w:sz w:val="28"/>
          <w:szCs w:val="28"/>
          <w:highlight w:val="none"/>
          <w:lang w:eastAsia="zh-CN"/>
        </w:rPr>
      </w:pPr>
      <w:r>
        <w:rPr>
          <w:rFonts w:hint="eastAsia" w:ascii="仿宋" w:hAnsi="仿宋" w:eastAsia="仿宋" w:cs="仿宋"/>
          <w:color w:val="auto"/>
          <w:kern w:val="2"/>
          <w:sz w:val="28"/>
          <w:szCs w:val="28"/>
          <w:highlight w:val="none"/>
          <w:lang w:eastAsia="zh-CN"/>
        </w:rPr>
        <w:t>宽度：不小于设计规定+施工时必要附加宽度</w:t>
      </w:r>
    </w:p>
    <w:p w14:paraId="12C41FAB">
      <w:pPr>
        <w:pStyle w:val="29"/>
        <w:ind w:firstLine="560" w:firstLineChars="200"/>
        <w:rPr>
          <w:rFonts w:hint="eastAsia" w:ascii="仿宋" w:hAnsi="仿宋" w:eastAsia="仿宋" w:cs="仿宋"/>
          <w:color w:val="auto"/>
          <w:kern w:val="2"/>
          <w:sz w:val="28"/>
          <w:szCs w:val="28"/>
          <w:highlight w:val="none"/>
          <w:lang w:eastAsia="zh-CN"/>
        </w:rPr>
      </w:pPr>
      <w:r>
        <w:rPr>
          <w:rFonts w:hint="eastAsia" w:ascii="仿宋" w:hAnsi="仿宋" w:eastAsia="仿宋" w:cs="仿宋"/>
          <w:color w:val="auto"/>
          <w:kern w:val="2"/>
          <w:sz w:val="28"/>
          <w:szCs w:val="28"/>
          <w:highlight w:val="none"/>
          <w:lang w:eastAsia="zh-CN"/>
        </w:rPr>
        <w:t>中线高程：+5mm，-20mm（其他道路）</w:t>
      </w:r>
    </w:p>
    <w:p w14:paraId="60E81FE4">
      <w:pPr>
        <w:pStyle w:val="29"/>
        <w:ind w:firstLine="560" w:firstLineChars="200"/>
        <w:rPr>
          <w:rFonts w:hint="eastAsia" w:ascii="仿宋" w:hAnsi="仿宋" w:eastAsia="仿宋" w:cs="仿宋"/>
          <w:color w:val="auto"/>
          <w:kern w:val="2"/>
          <w:sz w:val="28"/>
          <w:szCs w:val="28"/>
          <w:highlight w:val="none"/>
          <w:lang w:eastAsia="zh-CN"/>
        </w:rPr>
      </w:pPr>
      <w:r>
        <w:rPr>
          <w:rFonts w:hint="eastAsia" w:ascii="仿宋" w:hAnsi="仿宋" w:eastAsia="仿宋" w:cs="仿宋"/>
          <w:color w:val="auto"/>
          <w:kern w:val="2"/>
          <w:sz w:val="28"/>
          <w:szCs w:val="28"/>
          <w:highlight w:val="none"/>
          <w:lang w:eastAsia="zh-CN"/>
        </w:rPr>
        <w:t>横坡：±0.3%，且不反坡</w:t>
      </w:r>
    </w:p>
    <w:p w14:paraId="7E41388F">
      <w:pPr>
        <w:pStyle w:val="29"/>
        <w:ind w:firstLine="560" w:firstLineChars="200"/>
        <w:rPr>
          <w:rFonts w:hint="eastAsia" w:ascii="仿宋" w:hAnsi="仿宋" w:eastAsia="仿宋" w:cs="仿宋"/>
          <w:color w:val="auto"/>
          <w:kern w:val="2"/>
          <w:sz w:val="28"/>
          <w:szCs w:val="28"/>
          <w:highlight w:val="none"/>
          <w:lang w:eastAsia="zh-CN"/>
        </w:rPr>
      </w:pPr>
      <w:r>
        <w:rPr>
          <w:rFonts w:hint="eastAsia" w:ascii="仿宋" w:hAnsi="仿宋" w:eastAsia="仿宋" w:cs="仿宋"/>
          <w:color w:val="auto"/>
          <w:kern w:val="2"/>
          <w:sz w:val="28"/>
          <w:szCs w:val="28"/>
          <w:highlight w:val="none"/>
          <w:lang w:eastAsia="zh-CN"/>
        </w:rPr>
        <w:t>②材料要求</w:t>
      </w:r>
    </w:p>
    <w:p w14:paraId="001FAB23">
      <w:pPr>
        <w:pStyle w:val="29"/>
        <w:ind w:firstLine="560" w:firstLineChars="200"/>
        <w:rPr>
          <w:rFonts w:hint="eastAsia" w:ascii="仿宋" w:hAnsi="仿宋" w:eastAsia="仿宋" w:cs="仿宋"/>
          <w:color w:val="auto"/>
          <w:szCs w:val="28"/>
          <w:highlight w:val="none"/>
        </w:rPr>
      </w:pPr>
      <w:r>
        <w:rPr>
          <w:rFonts w:hint="eastAsia" w:ascii="仿宋" w:hAnsi="仿宋" w:eastAsia="仿宋" w:cs="仿宋"/>
          <w:color w:val="auto"/>
          <w:kern w:val="2"/>
          <w:sz w:val="28"/>
          <w:szCs w:val="28"/>
          <w:highlight w:val="none"/>
          <w:lang w:val="en-US" w:eastAsia="zh-CN" w:bidi="ar-SA"/>
        </w:rPr>
        <w:t>级配碎石垫层最大粒径应小于53mm，颗粒组成应符合下表要求</w:t>
      </w:r>
      <w:r>
        <w:rPr>
          <w:rFonts w:hint="eastAsia" w:ascii="仿宋" w:hAnsi="仿宋" w:eastAsia="仿宋" w:cs="仿宋"/>
          <w:color w:val="auto"/>
          <w:szCs w:val="28"/>
          <w:highlight w:val="none"/>
        </w:rPr>
        <w:t>。</w:t>
      </w:r>
    </w:p>
    <w:p w14:paraId="6314CAA1">
      <w:pPr>
        <w:spacing w:line="360" w:lineRule="auto"/>
        <w:ind w:firstLine="560"/>
        <w:jc w:val="center"/>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级配碎石组成要求</w:t>
      </w:r>
    </w:p>
    <w:tbl>
      <w:tblPr>
        <w:tblStyle w:val="23"/>
        <w:tblW w:w="103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gridCol w:w="636"/>
        <w:gridCol w:w="1065"/>
        <w:gridCol w:w="925"/>
        <w:gridCol w:w="925"/>
        <w:gridCol w:w="925"/>
        <w:gridCol w:w="925"/>
        <w:gridCol w:w="785"/>
        <w:gridCol w:w="785"/>
        <w:gridCol w:w="916"/>
        <w:gridCol w:w="544"/>
        <w:gridCol w:w="756"/>
      </w:tblGrid>
      <w:tr w14:paraId="7B6CB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6" w:type="dxa"/>
            <w:tcBorders>
              <w:tl2br w:val="nil"/>
              <w:tr2bl w:val="nil"/>
            </w:tcBorders>
            <w:noWrap w:val="0"/>
            <w:vAlign w:val="center"/>
          </w:tcPr>
          <w:p w14:paraId="7EC6DFCC">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筛孔尺寸（mm）</w:t>
            </w:r>
          </w:p>
        </w:tc>
        <w:tc>
          <w:tcPr>
            <w:tcW w:w="636" w:type="dxa"/>
            <w:tcBorders>
              <w:tl2br w:val="nil"/>
              <w:tr2bl w:val="nil"/>
            </w:tcBorders>
            <w:noWrap w:val="0"/>
            <w:vAlign w:val="center"/>
          </w:tcPr>
          <w:p w14:paraId="38603B0D">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53</w:t>
            </w:r>
          </w:p>
        </w:tc>
        <w:tc>
          <w:tcPr>
            <w:tcW w:w="1065" w:type="dxa"/>
            <w:tcBorders>
              <w:tl2br w:val="nil"/>
              <w:tr2bl w:val="nil"/>
            </w:tcBorders>
            <w:noWrap w:val="0"/>
            <w:vAlign w:val="center"/>
          </w:tcPr>
          <w:p w14:paraId="5818F8D9">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37.5</w:t>
            </w:r>
          </w:p>
        </w:tc>
        <w:tc>
          <w:tcPr>
            <w:tcW w:w="925" w:type="dxa"/>
            <w:tcBorders>
              <w:tl2br w:val="nil"/>
              <w:tr2bl w:val="nil"/>
            </w:tcBorders>
            <w:noWrap w:val="0"/>
            <w:vAlign w:val="center"/>
          </w:tcPr>
          <w:p w14:paraId="5225B54A">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31.5</w:t>
            </w:r>
          </w:p>
        </w:tc>
        <w:tc>
          <w:tcPr>
            <w:tcW w:w="925" w:type="dxa"/>
            <w:tcBorders>
              <w:tl2br w:val="nil"/>
              <w:tr2bl w:val="nil"/>
            </w:tcBorders>
            <w:noWrap w:val="0"/>
            <w:vAlign w:val="center"/>
          </w:tcPr>
          <w:p w14:paraId="0B841045">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19</w:t>
            </w:r>
          </w:p>
        </w:tc>
        <w:tc>
          <w:tcPr>
            <w:tcW w:w="925" w:type="dxa"/>
            <w:tcBorders>
              <w:tl2br w:val="nil"/>
              <w:tr2bl w:val="nil"/>
            </w:tcBorders>
            <w:noWrap w:val="0"/>
            <w:vAlign w:val="center"/>
          </w:tcPr>
          <w:p w14:paraId="60A4761D">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9.5</w:t>
            </w:r>
          </w:p>
        </w:tc>
        <w:tc>
          <w:tcPr>
            <w:tcW w:w="925" w:type="dxa"/>
            <w:tcBorders>
              <w:tl2br w:val="nil"/>
              <w:tr2bl w:val="nil"/>
            </w:tcBorders>
            <w:noWrap w:val="0"/>
            <w:vAlign w:val="center"/>
          </w:tcPr>
          <w:p w14:paraId="214D2C67">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4.75</w:t>
            </w:r>
          </w:p>
        </w:tc>
        <w:tc>
          <w:tcPr>
            <w:tcW w:w="785" w:type="dxa"/>
            <w:tcBorders>
              <w:tl2br w:val="nil"/>
              <w:tr2bl w:val="nil"/>
            </w:tcBorders>
            <w:noWrap w:val="0"/>
            <w:vAlign w:val="center"/>
          </w:tcPr>
          <w:p w14:paraId="1FE728FA">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2.36</w:t>
            </w:r>
          </w:p>
        </w:tc>
        <w:tc>
          <w:tcPr>
            <w:tcW w:w="785" w:type="dxa"/>
            <w:tcBorders>
              <w:tl2br w:val="nil"/>
              <w:tr2bl w:val="nil"/>
            </w:tcBorders>
            <w:noWrap w:val="0"/>
            <w:vAlign w:val="center"/>
          </w:tcPr>
          <w:p w14:paraId="0EE247B6">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0.6</w:t>
            </w:r>
          </w:p>
        </w:tc>
        <w:tc>
          <w:tcPr>
            <w:tcW w:w="916" w:type="dxa"/>
            <w:tcBorders>
              <w:tl2br w:val="nil"/>
              <w:tr2bl w:val="nil"/>
            </w:tcBorders>
            <w:noWrap w:val="0"/>
            <w:vAlign w:val="center"/>
          </w:tcPr>
          <w:p w14:paraId="05354CD7">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0.075</w:t>
            </w:r>
          </w:p>
        </w:tc>
        <w:tc>
          <w:tcPr>
            <w:tcW w:w="544" w:type="dxa"/>
            <w:tcBorders>
              <w:tl2br w:val="nil"/>
              <w:tr2bl w:val="nil"/>
            </w:tcBorders>
            <w:noWrap w:val="0"/>
            <w:vAlign w:val="center"/>
          </w:tcPr>
          <w:p w14:paraId="1E0AF0E5">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液限%</w:t>
            </w:r>
          </w:p>
        </w:tc>
        <w:tc>
          <w:tcPr>
            <w:tcW w:w="756" w:type="dxa"/>
            <w:tcBorders>
              <w:tl2br w:val="nil"/>
              <w:tr2bl w:val="nil"/>
            </w:tcBorders>
            <w:noWrap w:val="0"/>
            <w:vAlign w:val="center"/>
          </w:tcPr>
          <w:p w14:paraId="40910E33">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塑性</w:t>
            </w:r>
          </w:p>
          <w:p w14:paraId="49ED42E6">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指数</w:t>
            </w:r>
          </w:p>
        </w:tc>
      </w:tr>
      <w:tr w14:paraId="31377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6" w:type="dxa"/>
            <w:tcBorders>
              <w:tl2br w:val="nil"/>
              <w:tr2bl w:val="nil"/>
            </w:tcBorders>
            <w:noWrap w:val="0"/>
            <w:vAlign w:val="center"/>
          </w:tcPr>
          <w:p w14:paraId="797EBBCF">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通过质量百分率（%）</w:t>
            </w:r>
          </w:p>
        </w:tc>
        <w:tc>
          <w:tcPr>
            <w:tcW w:w="636" w:type="dxa"/>
            <w:tcBorders>
              <w:tl2br w:val="nil"/>
              <w:tr2bl w:val="nil"/>
            </w:tcBorders>
            <w:noWrap w:val="0"/>
            <w:vAlign w:val="center"/>
          </w:tcPr>
          <w:p w14:paraId="13116AE6">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100</w:t>
            </w:r>
          </w:p>
        </w:tc>
        <w:tc>
          <w:tcPr>
            <w:tcW w:w="1065" w:type="dxa"/>
            <w:tcBorders>
              <w:tl2br w:val="nil"/>
              <w:tr2bl w:val="nil"/>
            </w:tcBorders>
            <w:noWrap w:val="0"/>
            <w:vAlign w:val="center"/>
          </w:tcPr>
          <w:p w14:paraId="0727717E">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85~100</w:t>
            </w:r>
          </w:p>
        </w:tc>
        <w:tc>
          <w:tcPr>
            <w:tcW w:w="925" w:type="dxa"/>
            <w:tcBorders>
              <w:tl2br w:val="nil"/>
              <w:tr2bl w:val="nil"/>
            </w:tcBorders>
            <w:noWrap w:val="0"/>
            <w:vAlign w:val="center"/>
          </w:tcPr>
          <w:p w14:paraId="6ACB9B05">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69~88</w:t>
            </w:r>
          </w:p>
        </w:tc>
        <w:tc>
          <w:tcPr>
            <w:tcW w:w="925" w:type="dxa"/>
            <w:tcBorders>
              <w:tl2br w:val="nil"/>
              <w:tr2bl w:val="nil"/>
            </w:tcBorders>
            <w:noWrap w:val="0"/>
            <w:vAlign w:val="center"/>
          </w:tcPr>
          <w:p w14:paraId="06A98DD1">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40~65</w:t>
            </w:r>
          </w:p>
        </w:tc>
        <w:tc>
          <w:tcPr>
            <w:tcW w:w="925" w:type="dxa"/>
            <w:tcBorders>
              <w:tl2br w:val="nil"/>
              <w:tr2bl w:val="nil"/>
            </w:tcBorders>
            <w:noWrap w:val="0"/>
            <w:vAlign w:val="center"/>
          </w:tcPr>
          <w:p w14:paraId="024BEC01">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19~43</w:t>
            </w:r>
          </w:p>
        </w:tc>
        <w:tc>
          <w:tcPr>
            <w:tcW w:w="925" w:type="dxa"/>
            <w:tcBorders>
              <w:tl2br w:val="nil"/>
              <w:tr2bl w:val="nil"/>
            </w:tcBorders>
            <w:noWrap w:val="0"/>
            <w:vAlign w:val="center"/>
          </w:tcPr>
          <w:p w14:paraId="18EAC020">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10~30</w:t>
            </w:r>
          </w:p>
        </w:tc>
        <w:tc>
          <w:tcPr>
            <w:tcW w:w="785" w:type="dxa"/>
            <w:tcBorders>
              <w:tl2br w:val="nil"/>
              <w:tr2bl w:val="nil"/>
            </w:tcBorders>
            <w:noWrap w:val="0"/>
            <w:vAlign w:val="center"/>
          </w:tcPr>
          <w:p w14:paraId="72D3A69A">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8~25</w:t>
            </w:r>
          </w:p>
        </w:tc>
        <w:tc>
          <w:tcPr>
            <w:tcW w:w="785" w:type="dxa"/>
            <w:tcBorders>
              <w:tl2br w:val="nil"/>
              <w:tr2bl w:val="nil"/>
            </w:tcBorders>
            <w:noWrap w:val="0"/>
            <w:vAlign w:val="center"/>
          </w:tcPr>
          <w:p w14:paraId="61A3BD70">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6~18</w:t>
            </w:r>
          </w:p>
        </w:tc>
        <w:tc>
          <w:tcPr>
            <w:tcW w:w="916" w:type="dxa"/>
            <w:tcBorders>
              <w:tl2br w:val="nil"/>
              <w:tr2bl w:val="nil"/>
            </w:tcBorders>
            <w:noWrap w:val="0"/>
            <w:vAlign w:val="center"/>
          </w:tcPr>
          <w:p w14:paraId="1BA5E56B">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0~10</w:t>
            </w:r>
          </w:p>
        </w:tc>
        <w:tc>
          <w:tcPr>
            <w:tcW w:w="544" w:type="dxa"/>
            <w:tcBorders>
              <w:tl2br w:val="nil"/>
              <w:tr2bl w:val="nil"/>
            </w:tcBorders>
            <w:noWrap w:val="0"/>
            <w:vAlign w:val="center"/>
          </w:tcPr>
          <w:p w14:paraId="101E759C">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＜28</w:t>
            </w:r>
          </w:p>
        </w:tc>
        <w:tc>
          <w:tcPr>
            <w:tcW w:w="756" w:type="dxa"/>
            <w:tcBorders>
              <w:tl2br w:val="nil"/>
              <w:tr2bl w:val="nil"/>
            </w:tcBorders>
            <w:noWrap w:val="0"/>
            <w:vAlign w:val="center"/>
          </w:tcPr>
          <w:p w14:paraId="2386EC33">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＜6</w:t>
            </w:r>
          </w:p>
        </w:tc>
      </w:tr>
    </w:tbl>
    <w:p w14:paraId="042E1010">
      <w:pPr>
        <w:adjustRightInd w:val="0"/>
        <w:snapToGrid w:val="0"/>
        <w:spacing w:line="240" w:lineRule="exact"/>
        <w:ind w:firstLine="560" w:firstLineChars="200"/>
        <w:rPr>
          <w:rFonts w:hint="eastAsia" w:ascii="Times New Roman" w:hAnsi="Times New Roman"/>
          <w:color w:val="auto"/>
          <w:sz w:val="28"/>
          <w:szCs w:val="28"/>
          <w:highlight w:val="none"/>
        </w:rPr>
      </w:pPr>
    </w:p>
    <w:p w14:paraId="61486509">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材料压碎值应≤30（其他道路）</w:t>
      </w:r>
    </w:p>
    <w:p w14:paraId="5E1C2086">
      <w:pPr>
        <w:pStyle w:val="29"/>
        <w:ind w:firstLine="560" w:firstLineChars="20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w:t>
      </w:r>
      <w:r>
        <w:rPr>
          <w:rFonts w:hint="eastAsia" w:ascii="仿宋" w:hAnsi="仿宋" w:eastAsia="仿宋" w:cs="仿宋"/>
          <w:color w:val="auto"/>
          <w:kern w:val="2"/>
          <w:sz w:val="28"/>
          <w:szCs w:val="28"/>
          <w:highlight w:val="none"/>
          <w:lang w:val="en-US" w:eastAsia="zh-CN"/>
        </w:rPr>
        <w:t>2</w:t>
      </w:r>
      <w:r>
        <w:rPr>
          <w:rFonts w:hint="eastAsia" w:ascii="仿宋" w:hAnsi="仿宋" w:eastAsia="仿宋" w:cs="仿宋"/>
          <w:color w:val="auto"/>
          <w:kern w:val="2"/>
          <w:sz w:val="28"/>
          <w:szCs w:val="28"/>
          <w:highlight w:val="none"/>
        </w:rPr>
        <w:t>）</w:t>
      </w:r>
      <w:r>
        <w:rPr>
          <w:rFonts w:hint="eastAsia" w:ascii="仿宋" w:hAnsi="仿宋" w:eastAsia="仿宋" w:cs="仿宋"/>
          <w:color w:val="auto"/>
          <w:kern w:val="2"/>
          <w:sz w:val="28"/>
          <w:szCs w:val="28"/>
          <w:highlight w:val="none"/>
          <w:lang w:eastAsia="zh-CN"/>
        </w:rPr>
        <w:t>面层</w:t>
      </w:r>
      <w:r>
        <w:rPr>
          <w:rFonts w:hint="eastAsia" w:ascii="仿宋" w:hAnsi="仿宋" w:eastAsia="仿宋" w:cs="仿宋"/>
          <w:color w:val="auto"/>
          <w:kern w:val="2"/>
          <w:sz w:val="28"/>
          <w:szCs w:val="28"/>
          <w:highlight w:val="none"/>
        </w:rPr>
        <w:t>质量标准</w:t>
      </w:r>
    </w:p>
    <w:p w14:paraId="700DD0ED">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水泥混凝土板面平整，边角整齐，无裂缝，不得有脱皮、积水、蜂窝、麻面等现象，伸缩缝必须垂直，贯通，线直弯顺，灌缝饱满、密实，缝内无杂物。</w:t>
      </w:r>
    </w:p>
    <w:p w14:paraId="56F7039D">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lang w:eastAsia="zh-CN"/>
        </w:rPr>
        <w:t>①</w:t>
      </w:r>
      <w:r>
        <w:rPr>
          <w:rFonts w:hint="eastAsia" w:ascii="仿宋" w:hAnsi="仿宋" w:eastAsia="仿宋" w:cs="仿宋"/>
          <w:color w:val="auto"/>
          <w:szCs w:val="28"/>
          <w:highlight w:val="none"/>
        </w:rPr>
        <w:t>面基层抗弯拉强度（Mpa）：其他道路不得小于4.5Mpa。</w:t>
      </w:r>
    </w:p>
    <w:p w14:paraId="6ED025EA">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板厚度（mm）：代表值≥-5,极值≥-10</w:t>
      </w:r>
    </w:p>
    <w:p w14:paraId="75678EF5">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平整度：不大于2.0mm;相邻板高差：≤3mm</w:t>
      </w:r>
    </w:p>
    <w:p w14:paraId="1641EC5E">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连接摊铺纵缝高程：平均值≤5mm；极值≤7mm</w:t>
      </w:r>
    </w:p>
    <w:p w14:paraId="5B3A4082">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接缝顺直度：≤10mm；路面宽度：≤±20mm</w:t>
      </w:r>
    </w:p>
    <w:p w14:paraId="52BA176D">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纵断高程：≤±15mm；横坡度：±0.25%</w:t>
      </w:r>
    </w:p>
    <w:p w14:paraId="55E2C4C7">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断板率：≤4‰；切缝深度：≥50mm</w:t>
      </w:r>
    </w:p>
    <w:p w14:paraId="676BFBC2">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板顶凿毛深度：&gt;5mm</w:t>
      </w:r>
    </w:p>
    <w:p w14:paraId="27BADFA0">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其他请详混凝土路面铺筑质量要求。</w:t>
      </w:r>
    </w:p>
    <w:p w14:paraId="241BE615">
      <w:pPr>
        <w:pStyle w:val="29"/>
        <w:ind w:firstLine="560" w:firstLineChars="20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（2）材料要求</w:t>
      </w:r>
    </w:p>
    <w:p w14:paraId="2EAB01D6">
      <w:pPr>
        <w:pStyle w:val="29"/>
        <w:ind w:firstLine="560" w:firstLineChars="20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①水泥</w:t>
      </w:r>
    </w:p>
    <w:p w14:paraId="374E5E5B">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用于混凝土板的水泥应采用强度高，收缩性小，耐磨性强抗冻性好，并且其物理性能化学成份应符合国家标准规定的水泥，优先采用道路水泥，也可以采用普通硅酸盐水泥，水泥强度等级应采用32.5级，水泥的物理性能和化学成分应符合《硅酸盐水泥、普通硅酸盐水泥》GB175-1999的规定。进场水泥应有产品合格证及化验单，出厂期超过三个月或受潮的水泥应经试验决定正常使用或降级使用，已结块或变质水泥不得使用。</w:t>
      </w:r>
    </w:p>
    <w:tbl>
      <w:tblPr>
        <w:tblStyle w:val="23"/>
        <w:tblW w:w="0" w:type="auto"/>
        <w:jc w:val="center"/>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455"/>
        <w:gridCol w:w="2273"/>
        <w:gridCol w:w="2351"/>
      </w:tblGrid>
      <w:tr w14:paraId="18594528">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495" w:hRule="exact"/>
          <w:jc w:val="center"/>
        </w:trPr>
        <w:tc>
          <w:tcPr>
            <w:tcW w:w="5455" w:type="dxa"/>
            <w:vAlign w:val="center"/>
          </w:tcPr>
          <w:p w14:paraId="4DFE1F21">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龄期（d）</w:t>
            </w:r>
          </w:p>
        </w:tc>
        <w:tc>
          <w:tcPr>
            <w:tcW w:w="2273" w:type="dxa"/>
            <w:vAlign w:val="center"/>
          </w:tcPr>
          <w:p w14:paraId="2D388905">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3</w:t>
            </w:r>
          </w:p>
        </w:tc>
        <w:tc>
          <w:tcPr>
            <w:tcW w:w="2351" w:type="dxa"/>
            <w:vAlign w:val="center"/>
          </w:tcPr>
          <w:p w14:paraId="42B40FDA">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28</w:t>
            </w:r>
          </w:p>
        </w:tc>
      </w:tr>
      <w:tr w14:paraId="1A0B153A">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495" w:hRule="exact"/>
          <w:jc w:val="center"/>
        </w:trPr>
        <w:tc>
          <w:tcPr>
            <w:tcW w:w="5455" w:type="dxa"/>
            <w:vAlign w:val="center"/>
          </w:tcPr>
          <w:p w14:paraId="39AD3319">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抗压强度（MPa）≥,</w:t>
            </w:r>
          </w:p>
        </w:tc>
        <w:tc>
          <w:tcPr>
            <w:tcW w:w="2273" w:type="dxa"/>
            <w:vAlign w:val="center"/>
          </w:tcPr>
          <w:p w14:paraId="00905321">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16</w:t>
            </w:r>
          </w:p>
        </w:tc>
        <w:tc>
          <w:tcPr>
            <w:tcW w:w="2351" w:type="dxa"/>
            <w:vAlign w:val="center"/>
          </w:tcPr>
          <w:p w14:paraId="6599E000">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42.5</w:t>
            </w:r>
          </w:p>
        </w:tc>
      </w:tr>
      <w:tr w14:paraId="040472CF">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26" w:hRule="exact"/>
          <w:jc w:val="center"/>
        </w:trPr>
        <w:tc>
          <w:tcPr>
            <w:tcW w:w="5455" w:type="dxa"/>
            <w:vAlign w:val="center"/>
          </w:tcPr>
          <w:p w14:paraId="6C649AEB">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抗折强度（MPa）≥</w:t>
            </w:r>
          </w:p>
        </w:tc>
        <w:tc>
          <w:tcPr>
            <w:tcW w:w="2273" w:type="dxa"/>
            <w:vAlign w:val="center"/>
          </w:tcPr>
          <w:p w14:paraId="4F1C60FF">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3.5</w:t>
            </w:r>
          </w:p>
        </w:tc>
        <w:tc>
          <w:tcPr>
            <w:tcW w:w="2351" w:type="dxa"/>
            <w:vAlign w:val="center"/>
          </w:tcPr>
          <w:p w14:paraId="2F508B75">
            <w:pPr>
              <w:pStyle w:val="6"/>
              <w:ind w:firstLine="0" w:firstLineChars="0"/>
              <w:jc w:val="center"/>
              <w:rPr>
                <w:rFonts w:hint="eastAsia" w:ascii="仿宋" w:hAnsi="仿宋" w:eastAsia="仿宋"/>
                <w:color w:val="auto"/>
                <w:sz w:val="24"/>
                <w:highlight w:val="none"/>
              </w:rPr>
            </w:pPr>
            <w:r>
              <w:rPr>
                <w:rFonts w:hint="eastAsia" w:ascii="仿宋" w:hAnsi="仿宋" w:eastAsia="仿宋"/>
                <w:color w:val="auto"/>
                <w:sz w:val="24"/>
                <w:highlight w:val="none"/>
              </w:rPr>
              <w:t>6.5</w:t>
            </w:r>
          </w:p>
        </w:tc>
      </w:tr>
    </w:tbl>
    <w:p w14:paraId="5354EA3D">
      <w:pPr>
        <w:pStyle w:val="29"/>
        <w:ind w:firstLine="560" w:firstLineChars="20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②细集料</w:t>
      </w:r>
    </w:p>
    <w:p w14:paraId="2C5B11EA">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细集料宜采用天然砂、机制砂或混合砂。其质地应坚硬、耐久、洁净，并具有良好级配，道路路面所用天然砂宜为中砂，也可使用细度模数在2.0～3.5之间的砂。同一配合比用砂的细度模数变化范围不应超过0.3，水泥混凝土路面所用的细集料级别不低于II级。</w:t>
      </w:r>
    </w:p>
    <w:p w14:paraId="5E71C8C1">
      <w:pPr>
        <w:ind w:firstLine="56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细集料技术指标</w:t>
      </w:r>
    </w:p>
    <w:tbl>
      <w:tblPr>
        <w:tblStyle w:val="23"/>
        <w:tblW w:w="0" w:type="auto"/>
        <w:tblInd w:w="257"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727"/>
        <w:gridCol w:w="1962"/>
        <w:gridCol w:w="1962"/>
        <w:gridCol w:w="2371"/>
      </w:tblGrid>
      <w:tr w14:paraId="1EA6327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3727" w:type="dxa"/>
            <w:vMerge w:val="restart"/>
            <w:vAlign w:val="center"/>
          </w:tcPr>
          <w:p w14:paraId="3D355A14">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项目</w:t>
            </w:r>
          </w:p>
        </w:tc>
        <w:tc>
          <w:tcPr>
            <w:tcW w:w="6295" w:type="dxa"/>
            <w:gridSpan w:val="3"/>
            <w:vAlign w:val="center"/>
          </w:tcPr>
          <w:p w14:paraId="192F9987">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技术要求</w:t>
            </w:r>
          </w:p>
        </w:tc>
      </w:tr>
      <w:tr w14:paraId="055DB50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3727" w:type="dxa"/>
            <w:vMerge w:val="continue"/>
            <w:vAlign w:val="center"/>
          </w:tcPr>
          <w:p w14:paraId="5E4A7853">
            <w:pPr>
              <w:ind w:firstLine="0" w:firstLineChars="0"/>
              <w:jc w:val="center"/>
              <w:rPr>
                <w:rFonts w:hint="eastAsia" w:ascii="仿宋" w:hAnsi="仿宋" w:eastAsia="仿宋" w:cs="仿宋"/>
                <w:color w:val="auto"/>
                <w:sz w:val="21"/>
                <w:szCs w:val="21"/>
                <w:highlight w:val="none"/>
              </w:rPr>
            </w:pPr>
          </w:p>
        </w:tc>
        <w:tc>
          <w:tcPr>
            <w:tcW w:w="1962" w:type="dxa"/>
            <w:vAlign w:val="center"/>
          </w:tcPr>
          <w:p w14:paraId="4D890347">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I级</w:t>
            </w:r>
          </w:p>
        </w:tc>
        <w:tc>
          <w:tcPr>
            <w:tcW w:w="1962" w:type="dxa"/>
            <w:vAlign w:val="center"/>
          </w:tcPr>
          <w:p w14:paraId="08E18276">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II级</w:t>
            </w:r>
          </w:p>
        </w:tc>
        <w:tc>
          <w:tcPr>
            <w:tcW w:w="2371" w:type="dxa"/>
            <w:vAlign w:val="center"/>
          </w:tcPr>
          <w:p w14:paraId="20A81674">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III级</w:t>
            </w:r>
          </w:p>
        </w:tc>
      </w:tr>
      <w:tr w14:paraId="200592F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3727" w:type="dxa"/>
            <w:vAlign w:val="center"/>
          </w:tcPr>
          <w:p w14:paraId="373C7D42">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机制砂单料级最大压碎指标（%）</w:t>
            </w:r>
          </w:p>
        </w:tc>
        <w:tc>
          <w:tcPr>
            <w:tcW w:w="1962" w:type="dxa"/>
            <w:vAlign w:val="center"/>
          </w:tcPr>
          <w:p w14:paraId="240718FC">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&lt;20</w:t>
            </w:r>
          </w:p>
        </w:tc>
        <w:tc>
          <w:tcPr>
            <w:tcW w:w="1962" w:type="dxa"/>
            <w:vAlign w:val="center"/>
          </w:tcPr>
          <w:p w14:paraId="1E1DA66C">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&lt;25</w:t>
            </w:r>
          </w:p>
        </w:tc>
        <w:tc>
          <w:tcPr>
            <w:tcW w:w="2371" w:type="dxa"/>
            <w:vAlign w:val="center"/>
          </w:tcPr>
          <w:p w14:paraId="6DE7DCB9">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&lt;30</w:t>
            </w:r>
          </w:p>
        </w:tc>
      </w:tr>
      <w:tr w14:paraId="00EDA50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3727" w:type="dxa"/>
            <w:vAlign w:val="center"/>
          </w:tcPr>
          <w:p w14:paraId="07BA44A3">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氯化物（氯离子质量计%）</w:t>
            </w:r>
          </w:p>
        </w:tc>
        <w:tc>
          <w:tcPr>
            <w:tcW w:w="1962" w:type="dxa"/>
            <w:vAlign w:val="center"/>
          </w:tcPr>
          <w:p w14:paraId="369AC5FF">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&lt;0.01</w:t>
            </w:r>
          </w:p>
        </w:tc>
        <w:tc>
          <w:tcPr>
            <w:tcW w:w="1962" w:type="dxa"/>
            <w:vAlign w:val="center"/>
          </w:tcPr>
          <w:p w14:paraId="60C7FE4F">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&lt;0.02</w:t>
            </w:r>
          </w:p>
        </w:tc>
        <w:tc>
          <w:tcPr>
            <w:tcW w:w="2371" w:type="dxa"/>
            <w:vAlign w:val="center"/>
          </w:tcPr>
          <w:p w14:paraId="6C09044E">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&lt;0.06</w:t>
            </w:r>
          </w:p>
        </w:tc>
      </w:tr>
      <w:tr w14:paraId="0B6B594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3727" w:type="dxa"/>
            <w:vAlign w:val="center"/>
          </w:tcPr>
          <w:p w14:paraId="4992CCDE">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坚固性（按质量损失计%）</w:t>
            </w:r>
          </w:p>
        </w:tc>
        <w:tc>
          <w:tcPr>
            <w:tcW w:w="1962" w:type="dxa"/>
            <w:vAlign w:val="center"/>
          </w:tcPr>
          <w:p w14:paraId="46A08380">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&lt;6</w:t>
            </w:r>
          </w:p>
        </w:tc>
        <w:tc>
          <w:tcPr>
            <w:tcW w:w="1962" w:type="dxa"/>
            <w:vAlign w:val="center"/>
          </w:tcPr>
          <w:p w14:paraId="3ECE3A0D">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&lt;8</w:t>
            </w:r>
          </w:p>
        </w:tc>
        <w:tc>
          <w:tcPr>
            <w:tcW w:w="2371" w:type="dxa"/>
            <w:vAlign w:val="center"/>
          </w:tcPr>
          <w:p w14:paraId="7958670A">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&lt;10</w:t>
            </w:r>
          </w:p>
        </w:tc>
      </w:tr>
      <w:tr w14:paraId="62A4C0A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3727" w:type="dxa"/>
            <w:vAlign w:val="center"/>
          </w:tcPr>
          <w:p w14:paraId="5E278CBF">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云母（按质量计%）</w:t>
            </w:r>
          </w:p>
        </w:tc>
        <w:tc>
          <w:tcPr>
            <w:tcW w:w="1962" w:type="dxa"/>
            <w:vAlign w:val="center"/>
          </w:tcPr>
          <w:p w14:paraId="79F8F5C9">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&lt;1.0</w:t>
            </w:r>
          </w:p>
        </w:tc>
        <w:tc>
          <w:tcPr>
            <w:tcW w:w="1962" w:type="dxa"/>
            <w:vAlign w:val="center"/>
          </w:tcPr>
          <w:p w14:paraId="1104A8B5">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&lt;2.0</w:t>
            </w:r>
          </w:p>
        </w:tc>
        <w:tc>
          <w:tcPr>
            <w:tcW w:w="2371" w:type="dxa"/>
            <w:vAlign w:val="center"/>
          </w:tcPr>
          <w:p w14:paraId="3657BBE9">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&lt;2.0</w:t>
            </w:r>
          </w:p>
        </w:tc>
      </w:tr>
      <w:tr w14:paraId="5CB2AC5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3727" w:type="dxa"/>
            <w:vAlign w:val="center"/>
          </w:tcPr>
          <w:p w14:paraId="063931B9">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天然砂、机制砂含泥量（按质量计%）</w:t>
            </w:r>
          </w:p>
        </w:tc>
        <w:tc>
          <w:tcPr>
            <w:tcW w:w="1962" w:type="dxa"/>
            <w:vAlign w:val="center"/>
          </w:tcPr>
          <w:p w14:paraId="3C22D41D">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&lt;1.0</w:t>
            </w:r>
          </w:p>
        </w:tc>
        <w:tc>
          <w:tcPr>
            <w:tcW w:w="1962" w:type="dxa"/>
            <w:vAlign w:val="center"/>
          </w:tcPr>
          <w:p w14:paraId="30D9FE67">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&lt;2.0</w:t>
            </w:r>
          </w:p>
        </w:tc>
        <w:tc>
          <w:tcPr>
            <w:tcW w:w="2371" w:type="dxa"/>
            <w:vAlign w:val="center"/>
          </w:tcPr>
          <w:p w14:paraId="0F3C0798">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&lt;3.0</w:t>
            </w:r>
          </w:p>
        </w:tc>
      </w:tr>
      <w:tr w14:paraId="05A181A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3727" w:type="dxa"/>
            <w:vAlign w:val="center"/>
          </w:tcPr>
          <w:p w14:paraId="2C3254E4">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天然砂、机制砂泥块含量（按质量计%）</w:t>
            </w:r>
          </w:p>
        </w:tc>
        <w:tc>
          <w:tcPr>
            <w:tcW w:w="1962" w:type="dxa"/>
            <w:vAlign w:val="center"/>
          </w:tcPr>
          <w:p w14:paraId="60C51F99">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w:t>
            </w:r>
          </w:p>
        </w:tc>
        <w:tc>
          <w:tcPr>
            <w:tcW w:w="1962" w:type="dxa"/>
            <w:vAlign w:val="center"/>
          </w:tcPr>
          <w:p w14:paraId="61243E7E">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&lt;1.0</w:t>
            </w:r>
          </w:p>
        </w:tc>
        <w:tc>
          <w:tcPr>
            <w:tcW w:w="2371" w:type="dxa"/>
            <w:vAlign w:val="center"/>
          </w:tcPr>
          <w:p w14:paraId="2FC50757">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&lt;2.0</w:t>
            </w:r>
          </w:p>
        </w:tc>
      </w:tr>
      <w:tr w14:paraId="10F7F2A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3727" w:type="dxa"/>
            <w:vAlign w:val="center"/>
          </w:tcPr>
          <w:p w14:paraId="272C22D8">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机制砂MB值&lt;1.4或合格石粉含量</w:t>
            </w:r>
          </w:p>
          <w:p w14:paraId="3BE435BF">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（按质量计%）</w:t>
            </w:r>
          </w:p>
        </w:tc>
        <w:tc>
          <w:tcPr>
            <w:tcW w:w="1962" w:type="dxa"/>
            <w:vAlign w:val="center"/>
          </w:tcPr>
          <w:p w14:paraId="506D2830">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&lt;3.0</w:t>
            </w:r>
          </w:p>
        </w:tc>
        <w:tc>
          <w:tcPr>
            <w:tcW w:w="1962" w:type="dxa"/>
            <w:vAlign w:val="center"/>
          </w:tcPr>
          <w:p w14:paraId="1467B867">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&lt;5.0</w:t>
            </w:r>
          </w:p>
        </w:tc>
        <w:tc>
          <w:tcPr>
            <w:tcW w:w="2371" w:type="dxa"/>
            <w:vAlign w:val="center"/>
          </w:tcPr>
          <w:p w14:paraId="752BB56A">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&lt;7.0</w:t>
            </w:r>
          </w:p>
        </w:tc>
      </w:tr>
      <w:tr w14:paraId="5C40DDD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3727" w:type="dxa"/>
            <w:vAlign w:val="center"/>
          </w:tcPr>
          <w:p w14:paraId="04853A2F">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机制砂MB值≥1.4或不合格石粉含量</w:t>
            </w:r>
          </w:p>
          <w:p w14:paraId="18CCC63D">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（按质量计%）</w:t>
            </w:r>
          </w:p>
        </w:tc>
        <w:tc>
          <w:tcPr>
            <w:tcW w:w="1962" w:type="dxa"/>
            <w:vAlign w:val="center"/>
          </w:tcPr>
          <w:p w14:paraId="27DD120D">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&lt;1.0</w:t>
            </w:r>
          </w:p>
        </w:tc>
        <w:tc>
          <w:tcPr>
            <w:tcW w:w="1962" w:type="dxa"/>
            <w:vAlign w:val="center"/>
          </w:tcPr>
          <w:p w14:paraId="7BD1A49F">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&lt;3.0</w:t>
            </w:r>
          </w:p>
        </w:tc>
        <w:tc>
          <w:tcPr>
            <w:tcW w:w="2371" w:type="dxa"/>
            <w:vAlign w:val="center"/>
          </w:tcPr>
          <w:p w14:paraId="3614C43C">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&lt;5.0</w:t>
            </w:r>
          </w:p>
        </w:tc>
      </w:tr>
      <w:tr w14:paraId="077761E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3727" w:type="dxa"/>
            <w:vAlign w:val="center"/>
          </w:tcPr>
          <w:p w14:paraId="4FFD9354">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有机物含量（比色法）</w:t>
            </w:r>
          </w:p>
        </w:tc>
        <w:tc>
          <w:tcPr>
            <w:tcW w:w="1962" w:type="dxa"/>
            <w:vAlign w:val="center"/>
          </w:tcPr>
          <w:p w14:paraId="42CA39C2">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合格</w:t>
            </w:r>
          </w:p>
        </w:tc>
        <w:tc>
          <w:tcPr>
            <w:tcW w:w="1962" w:type="dxa"/>
            <w:vAlign w:val="center"/>
          </w:tcPr>
          <w:p w14:paraId="05A11403">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合格</w:t>
            </w:r>
          </w:p>
        </w:tc>
        <w:tc>
          <w:tcPr>
            <w:tcW w:w="2371" w:type="dxa"/>
            <w:vAlign w:val="center"/>
          </w:tcPr>
          <w:p w14:paraId="5F3AE776">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合格</w:t>
            </w:r>
          </w:p>
        </w:tc>
      </w:tr>
      <w:tr w14:paraId="636543A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3727" w:type="dxa"/>
            <w:vAlign w:val="center"/>
          </w:tcPr>
          <w:p w14:paraId="5818DB96">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硫化物及硫酸盐（按SO3质量计%）</w:t>
            </w:r>
          </w:p>
        </w:tc>
        <w:tc>
          <w:tcPr>
            <w:tcW w:w="1962" w:type="dxa"/>
            <w:vAlign w:val="center"/>
          </w:tcPr>
          <w:p w14:paraId="6162A3D7">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&lt;0.5</w:t>
            </w:r>
          </w:p>
        </w:tc>
        <w:tc>
          <w:tcPr>
            <w:tcW w:w="1962" w:type="dxa"/>
            <w:vAlign w:val="center"/>
          </w:tcPr>
          <w:p w14:paraId="6AA337CE">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&lt;0.5</w:t>
            </w:r>
          </w:p>
        </w:tc>
        <w:tc>
          <w:tcPr>
            <w:tcW w:w="2371" w:type="dxa"/>
            <w:vAlign w:val="center"/>
          </w:tcPr>
          <w:p w14:paraId="2DAFDF82">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&lt;0.5</w:t>
            </w:r>
          </w:p>
        </w:tc>
      </w:tr>
      <w:tr w14:paraId="5D29522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3727" w:type="dxa"/>
            <w:vAlign w:val="center"/>
          </w:tcPr>
          <w:p w14:paraId="19EE8A9D">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轻物质（按质量计%）</w:t>
            </w:r>
          </w:p>
        </w:tc>
        <w:tc>
          <w:tcPr>
            <w:tcW w:w="1962" w:type="dxa"/>
            <w:vAlign w:val="center"/>
          </w:tcPr>
          <w:p w14:paraId="4A7D6D42">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&lt;1.0</w:t>
            </w:r>
          </w:p>
        </w:tc>
        <w:tc>
          <w:tcPr>
            <w:tcW w:w="1962" w:type="dxa"/>
            <w:vAlign w:val="center"/>
          </w:tcPr>
          <w:p w14:paraId="68EC2BE0">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&lt;1.0</w:t>
            </w:r>
          </w:p>
        </w:tc>
        <w:tc>
          <w:tcPr>
            <w:tcW w:w="2371" w:type="dxa"/>
            <w:vAlign w:val="center"/>
          </w:tcPr>
          <w:p w14:paraId="11AAABA3">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&lt;1.0</w:t>
            </w:r>
          </w:p>
        </w:tc>
      </w:tr>
      <w:tr w14:paraId="78301A4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3727" w:type="dxa"/>
            <w:vAlign w:val="center"/>
          </w:tcPr>
          <w:p w14:paraId="7D171507">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机制砂母岩抗压强度</w:t>
            </w:r>
          </w:p>
        </w:tc>
        <w:tc>
          <w:tcPr>
            <w:tcW w:w="6295" w:type="dxa"/>
            <w:gridSpan w:val="3"/>
            <w:vAlign w:val="center"/>
          </w:tcPr>
          <w:p w14:paraId="3141F8BE">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火成岩不应小于100Mpa；</w:t>
            </w:r>
          </w:p>
          <w:p w14:paraId="5F920D4D">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变质岩不应小于80Mpa；</w:t>
            </w:r>
          </w:p>
          <w:p w14:paraId="1E997CC1">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水成岩不应小于60MPa</w:t>
            </w:r>
          </w:p>
        </w:tc>
      </w:tr>
      <w:tr w14:paraId="088D817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3727" w:type="dxa"/>
            <w:vAlign w:val="center"/>
          </w:tcPr>
          <w:p w14:paraId="1F9DC0AD">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表观密度</w:t>
            </w:r>
          </w:p>
        </w:tc>
        <w:tc>
          <w:tcPr>
            <w:tcW w:w="6295" w:type="dxa"/>
            <w:gridSpan w:val="3"/>
            <w:vAlign w:val="center"/>
          </w:tcPr>
          <w:p w14:paraId="2F9D88C4">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&gt;2500kg/m3</w:t>
            </w:r>
          </w:p>
        </w:tc>
      </w:tr>
      <w:tr w14:paraId="71AAA50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3727" w:type="dxa"/>
            <w:vAlign w:val="center"/>
          </w:tcPr>
          <w:p w14:paraId="31E542B8">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松散堆积密度</w:t>
            </w:r>
          </w:p>
        </w:tc>
        <w:tc>
          <w:tcPr>
            <w:tcW w:w="6295" w:type="dxa"/>
            <w:gridSpan w:val="3"/>
            <w:vAlign w:val="center"/>
          </w:tcPr>
          <w:p w14:paraId="69E5B7D8">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&gt;1350kg/m3</w:t>
            </w:r>
          </w:p>
        </w:tc>
      </w:tr>
      <w:tr w14:paraId="4B2CBDA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3727" w:type="dxa"/>
            <w:vAlign w:val="center"/>
          </w:tcPr>
          <w:p w14:paraId="2DC9C397">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空隙率</w:t>
            </w:r>
          </w:p>
        </w:tc>
        <w:tc>
          <w:tcPr>
            <w:tcW w:w="6295" w:type="dxa"/>
            <w:gridSpan w:val="3"/>
            <w:vAlign w:val="center"/>
          </w:tcPr>
          <w:p w14:paraId="4C1A8985">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&lt;47%</w:t>
            </w:r>
          </w:p>
        </w:tc>
      </w:tr>
      <w:tr w14:paraId="3F43E79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3727" w:type="dxa"/>
            <w:vAlign w:val="center"/>
          </w:tcPr>
          <w:p w14:paraId="0EE9D070">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碱集料反应</w:t>
            </w:r>
          </w:p>
        </w:tc>
        <w:tc>
          <w:tcPr>
            <w:tcW w:w="6295" w:type="dxa"/>
            <w:gridSpan w:val="3"/>
            <w:vAlign w:val="center"/>
          </w:tcPr>
          <w:p w14:paraId="7BE416A3">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经碱集料反应试验后，试件无裂缝、酥裂、胶体外溢等现象，</w:t>
            </w:r>
          </w:p>
          <w:p w14:paraId="268906CD">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在规定试验龄期的膨用率小于0.10%。</w:t>
            </w:r>
          </w:p>
        </w:tc>
      </w:tr>
    </w:tbl>
    <w:p w14:paraId="28ABC10E">
      <w:pPr>
        <w:ind w:firstLine="560"/>
        <w:rPr>
          <w:rFonts w:hint="eastAsia" w:hAnsi="宋体"/>
          <w:color w:val="auto"/>
          <w:highlight w:val="none"/>
        </w:rPr>
      </w:pPr>
      <w:r>
        <w:rPr>
          <w:rFonts w:hint="eastAsia" w:ascii="仿宋" w:hAnsi="仿宋" w:eastAsia="仿宋" w:cs="仿宋"/>
          <w:color w:val="auto"/>
          <w:szCs w:val="28"/>
          <w:highlight w:val="none"/>
        </w:rPr>
        <w:t>细集料的级与范围应符合下表的要求。</w:t>
      </w:r>
    </w:p>
    <w:p w14:paraId="401F44AE">
      <w:pPr>
        <w:ind w:firstLine="56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细集料级配范围</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479"/>
        <w:gridCol w:w="1408"/>
        <w:gridCol w:w="1336"/>
        <w:gridCol w:w="1335"/>
        <w:gridCol w:w="1335"/>
        <w:gridCol w:w="1182"/>
        <w:gridCol w:w="2051"/>
      </w:tblGrid>
      <w:tr w14:paraId="7D39F12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62" w:hRule="atLeast"/>
          <w:jc w:val="center"/>
        </w:trPr>
        <w:tc>
          <w:tcPr>
            <w:tcW w:w="1479" w:type="dxa"/>
            <w:vMerge w:val="restart"/>
            <w:vAlign w:val="center"/>
          </w:tcPr>
          <w:p w14:paraId="76E74145">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砂分级</w:t>
            </w:r>
          </w:p>
        </w:tc>
        <w:tc>
          <w:tcPr>
            <w:tcW w:w="8647" w:type="dxa"/>
            <w:gridSpan w:val="6"/>
            <w:vAlign w:val="center"/>
          </w:tcPr>
          <w:p w14:paraId="6B7A7623">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方筛孔尺寸（mm）</w:t>
            </w:r>
          </w:p>
        </w:tc>
      </w:tr>
      <w:tr w14:paraId="6166056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66" w:hRule="atLeast"/>
          <w:jc w:val="center"/>
        </w:trPr>
        <w:tc>
          <w:tcPr>
            <w:tcW w:w="1479" w:type="dxa"/>
            <w:vMerge w:val="continue"/>
            <w:vAlign w:val="center"/>
          </w:tcPr>
          <w:p w14:paraId="55853D13">
            <w:pPr>
              <w:ind w:firstLine="0" w:firstLineChars="0"/>
              <w:jc w:val="center"/>
              <w:rPr>
                <w:rFonts w:hint="eastAsia" w:ascii="仿宋" w:hAnsi="仿宋" w:eastAsia="仿宋" w:cs="仿宋"/>
                <w:color w:val="auto"/>
                <w:sz w:val="21"/>
                <w:szCs w:val="21"/>
                <w:highlight w:val="none"/>
              </w:rPr>
            </w:pPr>
          </w:p>
        </w:tc>
        <w:tc>
          <w:tcPr>
            <w:tcW w:w="1408" w:type="dxa"/>
            <w:vAlign w:val="center"/>
          </w:tcPr>
          <w:p w14:paraId="2207C4BC">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0.15</w:t>
            </w:r>
          </w:p>
        </w:tc>
        <w:tc>
          <w:tcPr>
            <w:tcW w:w="1336" w:type="dxa"/>
            <w:vAlign w:val="center"/>
          </w:tcPr>
          <w:p w14:paraId="0102F01F">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0.30</w:t>
            </w:r>
          </w:p>
        </w:tc>
        <w:tc>
          <w:tcPr>
            <w:tcW w:w="1335" w:type="dxa"/>
            <w:vAlign w:val="center"/>
          </w:tcPr>
          <w:p w14:paraId="4231C035">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0.60</w:t>
            </w:r>
          </w:p>
        </w:tc>
        <w:tc>
          <w:tcPr>
            <w:tcW w:w="1335" w:type="dxa"/>
            <w:vAlign w:val="center"/>
          </w:tcPr>
          <w:p w14:paraId="6FAC10ED">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1.18</w:t>
            </w:r>
          </w:p>
        </w:tc>
        <w:tc>
          <w:tcPr>
            <w:tcW w:w="1182" w:type="dxa"/>
            <w:vAlign w:val="center"/>
          </w:tcPr>
          <w:p w14:paraId="57C738D1">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2.36</w:t>
            </w:r>
          </w:p>
        </w:tc>
        <w:tc>
          <w:tcPr>
            <w:tcW w:w="2051" w:type="dxa"/>
            <w:vAlign w:val="center"/>
          </w:tcPr>
          <w:p w14:paraId="78444379">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4.75</w:t>
            </w:r>
          </w:p>
        </w:tc>
      </w:tr>
      <w:tr w14:paraId="1E2B282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66" w:hRule="atLeast"/>
          <w:jc w:val="center"/>
        </w:trPr>
        <w:tc>
          <w:tcPr>
            <w:tcW w:w="1479" w:type="dxa"/>
            <w:vMerge w:val="continue"/>
            <w:vAlign w:val="center"/>
          </w:tcPr>
          <w:p w14:paraId="3089DA87">
            <w:pPr>
              <w:ind w:firstLine="0" w:firstLineChars="0"/>
              <w:jc w:val="center"/>
              <w:rPr>
                <w:rFonts w:hint="eastAsia" w:ascii="仿宋" w:hAnsi="仿宋" w:eastAsia="仿宋" w:cs="仿宋"/>
                <w:color w:val="auto"/>
                <w:sz w:val="21"/>
                <w:szCs w:val="21"/>
                <w:highlight w:val="none"/>
              </w:rPr>
            </w:pPr>
          </w:p>
        </w:tc>
        <w:tc>
          <w:tcPr>
            <w:tcW w:w="8647" w:type="dxa"/>
            <w:gridSpan w:val="6"/>
            <w:vAlign w:val="center"/>
          </w:tcPr>
          <w:p w14:paraId="0445B4D9">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累计筛余（以质量计）（%）</w:t>
            </w:r>
          </w:p>
        </w:tc>
      </w:tr>
      <w:tr w14:paraId="3ED3FEE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66" w:hRule="atLeast"/>
          <w:jc w:val="center"/>
        </w:trPr>
        <w:tc>
          <w:tcPr>
            <w:tcW w:w="1479" w:type="dxa"/>
            <w:vAlign w:val="center"/>
          </w:tcPr>
          <w:p w14:paraId="06EB565A">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粗砂</w:t>
            </w:r>
          </w:p>
        </w:tc>
        <w:tc>
          <w:tcPr>
            <w:tcW w:w="1408" w:type="dxa"/>
            <w:vAlign w:val="center"/>
          </w:tcPr>
          <w:p w14:paraId="771D2E4E">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90～100</w:t>
            </w:r>
          </w:p>
        </w:tc>
        <w:tc>
          <w:tcPr>
            <w:tcW w:w="1336" w:type="dxa"/>
            <w:vAlign w:val="center"/>
          </w:tcPr>
          <w:p w14:paraId="1042596B">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85～95</w:t>
            </w:r>
          </w:p>
        </w:tc>
        <w:tc>
          <w:tcPr>
            <w:tcW w:w="1335" w:type="dxa"/>
            <w:vAlign w:val="center"/>
          </w:tcPr>
          <w:p w14:paraId="0FA5F776">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71～85</w:t>
            </w:r>
          </w:p>
        </w:tc>
        <w:tc>
          <w:tcPr>
            <w:tcW w:w="1335" w:type="dxa"/>
            <w:vAlign w:val="center"/>
          </w:tcPr>
          <w:p w14:paraId="0315B17B">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35～65</w:t>
            </w:r>
          </w:p>
        </w:tc>
        <w:tc>
          <w:tcPr>
            <w:tcW w:w="1182" w:type="dxa"/>
            <w:vAlign w:val="center"/>
          </w:tcPr>
          <w:p w14:paraId="2F99DB27">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5～35</w:t>
            </w:r>
          </w:p>
        </w:tc>
        <w:tc>
          <w:tcPr>
            <w:tcW w:w="2051" w:type="dxa"/>
            <w:vAlign w:val="center"/>
          </w:tcPr>
          <w:p w14:paraId="4BE46840">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0～10</w:t>
            </w:r>
          </w:p>
        </w:tc>
      </w:tr>
      <w:tr w14:paraId="2B5CDB6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66" w:hRule="atLeast"/>
          <w:jc w:val="center"/>
        </w:trPr>
        <w:tc>
          <w:tcPr>
            <w:tcW w:w="1479" w:type="dxa"/>
            <w:vAlign w:val="center"/>
          </w:tcPr>
          <w:p w14:paraId="69025CF5">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中砂</w:t>
            </w:r>
          </w:p>
        </w:tc>
        <w:tc>
          <w:tcPr>
            <w:tcW w:w="1408" w:type="dxa"/>
            <w:vAlign w:val="center"/>
          </w:tcPr>
          <w:p w14:paraId="22C15E1E">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90～100</w:t>
            </w:r>
          </w:p>
        </w:tc>
        <w:tc>
          <w:tcPr>
            <w:tcW w:w="1336" w:type="dxa"/>
            <w:vAlign w:val="center"/>
          </w:tcPr>
          <w:p w14:paraId="18AFA166">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70～92</w:t>
            </w:r>
          </w:p>
        </w:tc>
        <w:tc>
          <w:tcPr>
            <w:tcW w:w="1335" w:type="dxa"/>
            <w:vAlign w:val="center"/>
          </w:tcPr>
          <w:p w14:paraId="6B06F035">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41～70</w:t>
            </w:r>
          </w:p>
        </w:tc>
        <w:tc>
          <w:tcPr>
            <w:tcW w:w="1335" w:type="dxa"/>
            <w:vAlign w:val="center"/>
          </w:tcPr>
          <w:p w14:paraId="639F76EB">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10～50</w:t>
            </w:r>
          </w:p>
        </w:tc>
        <w:tc>
          <w:tcPr>
            <w:tcW w:w="1182" w:type="dxa"/>
            <w:vAlign w:val="center"/>
          </w:tcPr>
          <w:p w14:paraId="1201AC1E">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0～25</w:t>
            </w:r>
          </w:p>
        </w:tc>
        <w:tc>
          <w:tcPr>
            <w:tcW w:w="2051" w:type="dxa"/>
            <w:vAlign w:val="center"/>
          </w:tcPr>
          <w:p w14:paraId="39713424">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0～10</w:t>
            </w:r>
          </w:p>
        </w:tc>
      </w:tr>
      <w:tr w14:paraId="4D4E95C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75" w:hRule="atLeast"/>
          <w:jc w:val="center"/>
        </w:trPr>
        <w:tc>
          <w:tcPr>
            <w:tcW w:w="1479" w:type="dxa"/>
            <w:vAlign w:val="center"/>
          </w:tcPr>
          <w:p w14:paraId="427321C6">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细砂</w:t>
            </w:r>
          </w:p>
        </w:tc>
        <w:tc>
          <w:tcPr>
            <w:tcW w:w="1408" w:type="dxa"/>
            <w:vAlign w:val="center"/>
          </w:tcPr>
          <w:p w14:paraId="5094D9F7">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90～100</w:t>
            </w:r>
          </w:p>
        </w:tc>
        <w:tc>
          <w:tcPr>
            <w:tcW w:w="1336" w:type="dxa"/>
            <w:vAlign w:val="center"/>
          </w:tcPr>
          <w:p w14:paraId="4A625496">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55～85</w:t>
            </w:r>
          </w:p>
        </w:tc>
        <w:tc>
          <w:tcPr>
            <w:tcW w:w="1335" w:type="dxa"/>
            <w:vAlign w:val="center"/>
          </w:tcPr>
          <w:p w14:paraId="16C8F5C6">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16～40</w:t>
            </w:r>
          </w:p>
        </w:tc>
        <w:tc>
          <w:tcPr>
            <w:tcW w:w="1335" w:type="dxa"/>
            <w:vAlign w:val="center"/>
          </w:tcPr>
          <w:p w14:paraId="378D4279">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0～25</w:t>
            </w:r>
          </w:p>
        </w:tc>
        <w:tc>
          <w:tcPr>
            <w:tcW w:w="1182" w:type="dxa"/>
            <w:vAlign w:val="center"/>
          </w:tcPr>
          <w:p w14:paraId="1A6984D6">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0～15</w:t>
            </w:r>
          </w:p>
        </w:tc>
        <w:tc>
          <w:tcPr>
            <w:tcW w:w="2051" w:type="dxa"/>
            <w:vAlign w:val="center"/>
          </w:tcPr>
          <w:p w14:paraId="3CECB4BA">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0～10</w:t>
            </w:r>
          </w:p>
        </w:tc>
      </w:tr>
    </w:tbl>
    <w:p w14:paraId="5569C100">
      <w:pPr>
        <w:pStyle w:val="29"/>
        <w:ind w:firstLine="560" w:firstLineChars="20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③粗集料</w:t>
      </w:r>
    </w:p>
    <w:p w14:paraId="73063828">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粗集料应使用坚硬、耐久、洁净的碎石、碎卵石和卵石，水泥混凝土路面所用的粗集料级别不低于II级，其各项技术指标就符合下表的规定。</w:t>
      </w:r>
    </w:p>
    <w:p w14:paraId="5FFB29CD">
      <w:pPr>
        <w:ind w:firstLine="56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碎石、碎卵石和卵石技术指标</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390"/>
        <w:gridCol w:w="1511"/>
        <w:gridCol w:w="1638"/>
        <w:gridCol w:w="1951"/>
      </w:tblGrid>
      <w:tr w14:paraId="71A1FFF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390" w:type="dxa"/>
            <w:vMerge w:val="restart"/>
            <w:vAlign w:val="center"/>
          </w:tcPr>
          <w:p w14:paraId="01DFEC48">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项目</w:t>
            </w:r>
          </w:p>
        </w:tc>
        <w:tc>
          <w:tcPr>
            <w:tcW w:w="5100" w:type="dxa"/>
            <w:gridSpan w:val="3"/>
            <w:vAlign w:val="center"/>
          </w:tcPr>
          <w:p w14:paraId="39397ECE">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技术要求</w:t>
            </w:r>
          </w:p>
        </w:tc>
      </w:tr>
      <w:tr w14:paraId="5BC69F5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390" w:type="dxa"/>
            <w:vMerge w:val="continue"/>
            <w:vAlign w:val="center"/>
          </w:tcPr>
          <w:p w14:paraId="1B2D493D">
            <w:pPr>
              <w:ind w:firstLine="0" w:firstLineChars="0"/>
              <w:jc w:val="center"/>
              <w:rPr>
                <w:rFonts w:hint="eastAsia" w:ascii="仿宋" w:hAnsi="仿宋" w:eastAsia="仿宋" w:cs="仿宋"/>
                <w:color w:val="auto"/>
                <w:sz w:val="21"/>
                <w:szCs w:val="21"/>
                <w:highlight w:val="none"/>
              </w:rPr>
            </w:pPr>
          </w:p>
        </w:tc>
        <w:tc>
          <w:tcPr>
            <w:tcW w:w="1511" w:type="dxa"/>
            <w:vAlign w:val="center"/>
          </w:tcPr>
          <w:p w14:paraId="1BB3C4C3">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I级</w:t>
            </w:r>
          </w:p>
        </w:tc>
        <w:tc>
          <w:tcPr>
            <w:tcW w:w="1638" w:type="dxa"/>
            <w:vAlign w:val="center"/>
          </w:tcPr>
          <w:p w14:paraId="068FCD24">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II级</w:t>
            </w:r>
          </w:p>
        </w:tc>
        <w:tc>
          <w:tcPr>
            <w:tcW w:w="1951" w:type="dxa"/>
            <w:vAlign w:val="center"/>
          </w:tcPr>
          <w:p w14:paraId="6234A0E2">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II级</w:t>
            </w:r>
          </w:p>
        </w:tc>
      </w:tr>
      <w:tr w14:paraId="4793D11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390" w:type="dxa"/>
            <w:vAlign w:val="center"/>
          </w:tcPr>
          <w:p w14:paraId="7CD417BC">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碎石压碎指标（%）</w:t>
            </w:r>
          </w:p>
        </w:tc>
        <w:tc>
          <w:tcPr>
            <w:tcW w:w="1511" w:type="dxa"/>
            <w:vAlign w:val="center"/>
          </w:tcPr>
          <w:p w14:paraId="48CF979A">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&lt;10</w:t>
            </w:r>
          </w:p>
        </w:tc>
        <w:tc>
          <w:tcPr>
            <w:tcW w:w="1638" w:type="dxa"/>
            <w:vAlign w:val="center"/>
          </w:tcPr>
          <w:p w14:paraId="5AC6EFC9">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&lt;15</w:t>
            </w:r>
          </w:p>
        </w:tc>
        <w:tc>
          <w:tcPr>
            <w:tcW w:w="1951" w:type="dxa"/>
            <w:vAlign w:val="center"/>
          </w:tcPr>
          <w:p w14:paraId="01CCA131">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&lt;20</w:t>
            </w:r>
          </w:p>
        </w:tc>
      </w:tr>
      <w:tr w14:paraId="65ECDA2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390" w:type="dxa"/>
            <w:vAlign w:val="center"/>
          </w:tcPr>
          <w:p w14:paraId="4EFA5CF4">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卵石压碎指标（%）</w:t>
            </w:r>
          </w:p>
        </w:tc>
        <w:tc>
          <w:tcPr>
            <w:tcW w:w="1511" w:type="dxa"/>
            <w:vAlign w:val="center"/>
          </w:tcPr>
          <w:p w14:paraId="6204EB68">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&lt;12</w:t>
            </w:r>
          </w:p>
        </w:tc>
        <w:tc>
          <w:tcPr>
            <w:tcW w:w="1638" w:type="dxa"/>
            <w:vAlign w:val="center"/>
          </w:tcPr>
          <w:p w14:paraId="65AD0945">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&lt;14</w:t>
            </w:r>
          </w:p>
        </w:tc>
        <w:tc>
          <w:tcPr>
            <w:tcW w:w="1951" w:type="dxa"/>
            <w:vAlign w:val="center"/>
          </w:tcPr>
          <w:p w14:paraId="332B90C5">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&lt;16</w:t>
            </w:r>
          </w:p>
        </w:tc>
      </w:tr>
      <w:tr w14:paraId="74FD46C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390" w:type="dxa"/>
            <w:vAlign w:val="center"/>
          </w:tcPr>
          <w:p w14:paraId="1D7FC7A1">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坚固性（按质量损失计%）</w:t>
            </w:r>
          </w:p>
        </w:tc>
        <w:tc>
          <w:tcPr>
            <w:tcW w:w="1511" w:type="dxa"/>
            <w:vAlign w:val="center"/>
          </w:tcPr>
          <w:p w14:paraId="5941B060">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&lt;5</w:t>
            </w:r>
          </w:p>
        </w:tc>
        <w:tc>
          <w:tcPr>
            <w:tcW w:w="1638" w:type="dxa"/>
            <w:vAlign w:val="center"/>
          </w:tcPr>
          <w:p w14:paraId="49C437B8">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&lt;8</w:t>
            </w:r>
          </w:p>
        </w:tc>
        <w:tc>
          <w:tcPr>
            <w:tcW w:w="1951" w:type="dxa"/>
            <w:vAlign w:val="center"/>
          </w:tcPr>
          <w:p w14:paraId="10DE2420">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&lt;12</w:t>
            </w:r>
          </w:p>
        </w:tc>
      </w:tr>
      <w:tr w14:paraId="65ED070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390" w:type="dxa"/>
            <w:vAlign w:val="center"/>
          </w:tcPr>
          <w:p w14:paraId="3E7DC719">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针片状颗粒含量（按质量计%）</w:t>
            </w:r>
          </w:p>
        </w:tc>
        <w:tc>
          <w:tcPr>
            <w:tcW w:w="1511" w:type="dxa"/>
            <w:vAlign w:val="center"/>
          </w:tcPr>
          <w:p w14:paraId="4622CA6B">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&lt;5</w:t>
            </w:r>
          </w:p>
        </w:tc>
        <w:tc>
          <w:tcPr>
            <w:tcW w:w="1638" w:type="dxa"/>
            <w:vAlign w:val="center"/>
          </w:tcPr>
          <w:p w14:paraId="3708DF4C">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&lt;15</w:t>
            </w:r>
          </w:p>
        </w:tc>
        <w:tc>
          <w:tcPr>
            <w:tcW w:w="1951" w:type="dxa"/>
            <w:vAlign w:val="center"/>
          </w:tcPr>
          <w:p w14:paraId="36CB9616">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&lt;20</w:t>
            </w:r>
          </w:p>
        </w:tc>
      </w:tr>
      <w:tr w14:paraId="17FC5EA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390" w:type="dxa"/>
            <w:vAlign w:val="center"/>
          </w:tcPr>
          <w:p w14:paraId="69BEBBC5">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含泥量（按质量计%）</w:t>
            </w:r>
          </w:p>
        </w:tc>
        <w:tc>
          <w:tcPr>
            <w:tcW w:w="1511" w:type="dxa"/>
            <w:vAlign w:val="center"/>
          </w:tcPr>
          <w:p w14:paraId="14540666">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&lt;0.5</w:t>
            </w:r>
          </w:p>
        </w:tc>
        <w:tc>
          <w:tcPr>
            <w:tcW w:w="1638" w:type="dxa"/>
            <w:vAlign w:val="center"/>
          </w:tcPr>
          <w:p w14:paraId="0AB493FC">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&lt;1.0</w:t>
            </w:r>
          </w:p>
        </w:tc>
        <w:tc>
          <w:tcPr>
            <w:tcW w:w="1951" w:type="dxa"/>
            <w:vAlign w:val="center"/>
          </w:tcPr>
          <w:p w14:paraId="42243253">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&lt;1.5</w:t>
            </w:r>
          </w:p>
        </w:tc>
      </w:tr>
      <w:tr w14:paraId="354728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390" w:type="dxa"/>
            <w:vAlign w:val="center"/>
          </w:tcPr>
          <w:p w14:paraId="398DA6C4">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泥块含量（按质量计%）</w:t>
            </w:r>
          </w:p>
        </w:tc>
        <w:tc>
          <w:tcPr>
            <w:tcW w:w="1511" w:type="dxa"/>
            <w:vAlign w:val="center"/>
          </w:tcPr>
          <w:p w14:paraId="2FDCEB1E">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&lt;0</w:t>
            </w:r>
          </w:p>
        </w:tc>
        <w:tc>
          <w:tcPr>
            <w:tcW w:w="1638" w:type="dxa"/>
            <w:vAlign w:val="center"/>
          </w:tcPr>
          <w:p w14:paraId="4102B68E">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&lt;0.2</w:t>
            </w:r>
          </w:p>
        </w:tc>
        <w:tc>
          <w:tcPr>
            <w:tcW w:w="1951" w:type="dxa"/>
            <w:vAlign w:val="center"/>
          </w:tcPr>
          <w:p w14:paraId="609316AD">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&lt;0.5</w:t>
            </w:r>
          </w:p>
        </w:tc>
      </w:tr>
      <w:tr w14:paraId="642741D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390" w:type="dxa"/>
            <w:vAlign w:val="center"/>
          </w:tcPr>
          <w:p w14:paraId="6DE4AFB9">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有机物含量（比色法）</w:t>
            </w:r>
          </w:p>
        </w:tc>
        <w:tc>
          <w:tcPr>
            <w:tcW w:w="1511" w:type="dxa"/>
            <w:vAlign w:val="center"/>
          </w:tcPr>
          <w:p w14:paraId="337A5934">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合格</w:t>
            </w:r>
          </w:p>
        </w:tc>
        <w:tc>
          <w:tcPr>
            <w:tcW w:w="1638" w:type="dxa"/>
            <w:vAlign w:val="center"/>
          </w:tcPr>
          <w:p w14:paraId="69ACA074">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合格</w:t>
            </w:r>
          </w:p>
        </w:tc>
        <w:tc>
          <w:tcPr>
            <w:tcW w:w="1951" w:type="dxa"/>
            <w:vAlign w:val="center"/>
          </w:tcPr>
          <w:p w14:paraId="275D5D71">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合格</w:t>
            </w:r>
          </w:p>
        </w:tc>
      </w:tr>
      <w:tr w14:paraId="2D47519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390" w:type="dxa"/>
            <w:vAlign w:val="center"/>
          </w:tcPr>
          <w:p w14:paraId="40FB2EA0">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硫化物及硫酸盐（按SO3质量计%）</w:t>
            </w:r>
          </w:p>
        </w:tc>
        <w:tc>
          <w:tcPr>
            <w:tcW w:w="1511" w:type="dxa"/>
            <w:vAlign w:val="center"/>
          </w:tcPr>
          <w:p w14:paraId="09465912">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&lt;0.5</w:t>
            </w:r>
          </w:p>
        </w:tc>
        <w:tc>
          <w:tcPr>
            <w:tcW w:w="1638" w:type="dxa"/>
            <w:vAlign w:val="center"/>
          </w:tcPr>
          <w:p w14:paraId="0D33FE08">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&lt;1.0</w:t>
            </w:r>
          </w:p>
        </w:tc>
        <w:tc>
          <w:tcPr>
            <w:tcW w:w="1951" w:type="dxa"/>
            <w:vAlign w:val="center"/>
          </w:tcPr>
          <w:p w14:paraId="500414B3">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&lt;1.0</w:t>
            </w:r>
          </w:p>
        </w:tc>
      </w:tr>
      <w:tr w14:paraId="68453F2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390" w:type="dxa"/>
            <w:vAlign w:val="center"/>
          </w:tcPr>
          <w:p w14:paraId="0F92033D">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岩石抗压强度</w:t>
            </w:r>
          </w:p>
        </w:tc>
        <w:tc>
          <w:tcPr>
            <w:tcW w:w="5100" w:type="dxa"/>
            <w:gridSpan w:val="3"/>
            <w:vAlign w:val="center"/>
          </w:tcPr>
          <w:p w14:paraId="5679D747">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火成岩不应小于100Mpa；</w:t>
            </w:r>
          </w:p>
          <w:p w14:paraId="6F6573AE">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变质岩不应小于80Mpa；</w:t>
            </w:r>
          </w:p>
          <w:p w14:paraId="4CC1394A">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水成岩不应小于60MPa</w:t>
            </w:r>
          </w:p>
        </w:tc>
      </w:tr>
      <w:tr w14:paraId="41CA426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390" w:type="dxa"/>
            <w:vAlign w:val="center"/>
          </w:tcPr>
          <w:p w14:paraId="2721CE87">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表观密度</w:t>
            </w:r>
          </w:p>
        </w:tc>
        <w:tc>
          <w:tcPr>
            <w:tcW w:w="5100" w:type="dxa"/>
            <w:gridSpan w:val="3"/>
            <w:vAlign w:val="center"/>
          </w:tcPr>
          <w:p w14:paraId="34E888D8">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&gt;2500kg/m3</w:t>
            </w:r>
          </w:p>
        </w:tc>
      </w:tr>
      <w:tr w14:paraId="14641F8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390" w:type="dxa"/>
            <w:vAlign w:val="center"/>
          </w:tcPr>
          <w:p w14:paraId="613A90FD">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松散堆积密度</w:t>
            </w:r>
          </w:p>
        </w:tc>
        <w:tc>
          <w:tcPr>
            <w:tcW w:w="5100" w:type="dxa"/>
            <w:gridSpan w:val="3"/>
            <w:vAlign w:val="center"/>
          </w:tcPr>
          <w:p w14:paraId="66C92B66">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&gt;1350kg/m3</w:t>
            </w:r>
          </w:p>
        </w:tc>
      </w:tr>
      <w:tr w14:paraId="1408231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390" w:type="dxa"/>
            <w:vAlign w:val="center"/>
          </w:tcPr>
          <w:p w14:paraId="3B841D67">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空隙率</w:t>
            </w:r>
          </w:p>
        </w:tc>
        <w:tc>
          <w:tcPr>
            <w:tcW w:w="5100" w:type="dxa"/>
            <w:gridSpan w:val="3"/>
            <w:vAlign w:val="center"/>
          </w:tcPr>
          <w:p w14:paraId="3D33F273">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&lt;47%</w:t>
            </w:r>
          </w:p>
        </w:tc>
      </w:tr>
      <w:tr w14:paraId="3D16FE0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390" w:type="dxa"/>
            <w:vAlign w:val="center"/>
          </w:tcPr>
          <w:p w14:paraId="35105DA3">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碱集料反应</w:t>
            </w:r>
          </w:p>
        </w:tc>
        <w:tc>
          <w:tcPr>
            <w:tcW w:w="5100" w:type="dxa"/>
            <w:gridSpan w:val="3"/>
            <w:vAlign w:val="center"/>
          </w:tcPr>
          <w:p w14:paraId="564A1EEA">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经碱集料反应试验后，</w:t>
            </w:r>
          </w:p>
          <w:p w14:paraId="07E76B83">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试件无裂缝、酥裂、胶体外溢等现象，</w:t>
            </w:r>
          </w:p>
          <w:p w14:paraId="5108999B">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在规定试验龄期的膨用率小于0.10%。</w:t>
            </w:r>
          </w:p>
        </w:tc>
      </w:tr>
    </w:tbl>
    <w:p w14:paraId="1906BF97">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用作路面的粗集料不得使用不分级的统料，应按最大公称粒径的不同采用2～4个粒级的集料进行掺配，并应符合下表合成级配的要求。卵石最大公称料径不应大于19mm ;碎石卵石最大公称粒径不宜大于26.5mm；碎石最大公称粒径不应大于31.5mm。粗集料级配应符合下表技术要求：</w:t>
      </w:r>
    </w:p>
    <w:p w14:paraId="39B592F0">
      <w:pPr>
        <w:ind w:firstLine="56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粗集料级配范围</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78"/>
        <w:gridCol w:w="1420"/>
        <w:gridCol w:w="1067"/>
        <w:gridCol w:w="1067"/>
        <w:gridCol w:w="1067"/>
        <w:gridCol w:w="1067"/>
        <w:gridCol w:w="949"/>
        <w:gridCol w:w="949"/>
        <w:gridCol w:w="831"/>
        <w:gridCol w:w="832"/>
      </w:tblGrid>
      <w:tr w14:paraId="4FFC07E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22" w:hRule="atLeast"/>
          <w:jc w:val="center"/>
        </w:trPr>
        <w:tc>
          <w:tcPr>
            <w:tcW w:w="1898" w:type="dxa"/>
            <w:gridSpan w:val="2"/>
            <w:vMerge w:val="restart"/>
            <w:vAlign w:val="center"/>
          </w:tcPr>
          <w:p w14:paraId="76EE0546">
            <w:pPr>
              <w:ind w:firstLine="0" w:firstLineChars="0"/>
              <w:jc w:val="center"/>
              <w:rPr>
                <w:rFonts w:hint="eastAsia" w:ascii="仿宋" w:hAnsi="仿宋" w:eastAsia="仿宋" w:cs="仿宋"/>
                <w:color w:val="auto"/>
                <w:sz w:val="21"/>
                <w:szCs w:val="21"/>
                <w:highlight w:val="none"/>
              </w:rPr>
            </w:pPr>
          </w:p>
        </w:tc>
        <w:tc>
          <w:tcPr>
            <w:tcW w:w="7829" w:type="dxa"/>
            <w:gridSpan w:val="8"/>
            <w:vAlign w:val="center"/>
          </w:tcPr>
          <w:p w14:paraId="4BEA7240">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方筛孔尺寸（mm）</w:t>
            </w:r>
          </w:p>
        </w:tc>
      </w:tr>
      <w:tr w14:paraId="493D4C2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22" w:hRule="atLeast"/>
          <w:jc w:val="center"/>
        </w:trPr>
        <w:tc>
          <w:tcPr>
            <w:tcW w:w="1898" w:type="dxa"/>
            <w:gridSpan w:val="2"/>
            <w:vMerge w:val="continue"/>
            <w:vAlign w:val="center"/>
          </w:tcPr>
          <w:p w14:paraId="792F56D8">
            <w:pPr>
              <w:ind w:firstLine="0" w:firstLineChars="0"/>
              <w:jc w:val="center"/>
              <w:rPr>
                <w:rFonts w:hint="eastAsia" w:ascii="仿宋" w:hAnsi="仿宋" w:eastAsia="仿宋" w:cs="仿宋"/>
                <w:color w:val="auto"/>
                <w:sz w:val="21"/>
                <w:szCs w:val="21"/>
                <w:highlight w:val="none"/>
              </w:rPr>
            </w:pPr>
          </w:p>
        </w:tc>
        <w:tc>
          <w:tcPr>
            <w:tcW w:w="1067" w:type="dxa"/>
            <w:vAlign w:val="center"/>
          </w:tcPr>
          <w:p w14:paraId="520B97E9">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2.36</w:t>
            </w:r>
          </w:p>
        </w:tc>
        <w:tc>
          <w:tcPr>
            <w:tcW w:w="1067" w:type="dxa"/>
            <w:vAlign w:val="center"/>
          </w:tcPr>
          <w:p w14:paraId="64125138">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4.75</w:t>
            </w:r>
          </w:p>
        </w:tc>
        <w:tc>
          <w:tcPr>
            <w:tcW w:w="1067" w:type="dxa"/>
            <w:vAlign w:val="center"/>
          </w:tcPr>
          <w:p w14:paraId="6698155A">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9.50</w:t>
            </w:r>
          </w:p>
        </w:tc>
        <w:tc>
          <w:tcPr>
            <w:tcW w:w="1067" w:type="dxa"/>
            <w:vAlign w:val="center"/>
          </w:tcPr>
          <w:p w14:paraId="26B8C564">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16.0</w:t>
            </w:r>
          </w:p>
        </w:tc>
        <w:tc>
          <w:tcPr>
            <w:tcW w:w="949" w:type="dxa"/>
            <w:vAlign w:val="center"/>
          </w:tcPr>
          <w:p w14:paraId="3719D2B2">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19.0</w:t>
            </w:r>
          </w:p>
        </w:tc>
        <w:tc>
          <w:tcPr>
            <w:tcW w:w="949" w:type="dxa"/>
            <w:vAlign w:val="center"/>
          </w:tcPr>
          <w:p w14:paraId="6A31BB4E">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26.5</w:t>
            </w:r>
          </w:p>
        </w:tc>
        <w:tc>
          <w:tcPr>
            <w:tcW w:w="831" w:type="dxa"/>
            <w:vAlign w:val="center"/>
          </w:tcPr>
          <w:p w14:paraId="15E27D75">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31.5</w:t>
            </w:r>
          </w:p>
        </w:tc>
        <w:tc>
          <w:tcPr>
            <w:tcW w:w="832" w:type="dxa"/>
            <w:vAlign w:val="center"/>
          </w:tcPr>
          <w:p w14:paraId="671D1F51">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37.5</w:t>
            </w:r>
          </w:p>
        </w:tc>
      </w:tr>
      <w:tr w14:paraId="5422F23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22" w:hRule="atLeast"/>
          <w:jc w:val="center"/>
        </w:trPr>
        <w:tc>
          <w:tcPr>
            <w:tcW w:w="1898" w:type="dxa"/>
            <w:gridSpan w:val="2"/>
            <w:vMerge w:val="continue"/>
            <w:vAlign w:val="center"/>
          </w:tcPr>
          <w:p w14:paraId="449A85A7">
            <w:pPr>
              <w:ind w:firstLine="0" w:firstLineChars="0"/>
              <w:jc w:val="center"/>
              <w:rPr>
                <w:rFonts w:hint="eastAsia" w:ascii="仿宋" w:hAnsi="仿宋" w:eastAsia="仿宋" w:cs="仿宋"/>
                <w:color w:val="auto"/>
                <w:sz w:val="21"/>
                <w:szCs w:val="21"/>
                <w:highlight w:val="none"/>
              </w:rPr>
            </w:pPr>
          </w:p>
        </w:tc>
        <w:tc>
          <w:tcPr>
            <w:tcW w:w="7829" w:type="dxa"/>
            <w:gridSpan w:val="8"/>
            <w:vAlign w:val="center"/>
          </w:tcPr>
          <w:p w14:paraId="3AB7E223">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累计筛余（以质量计）（%）</w:t>
            </w:r>
          </w:p>
        </w:tc>
      </w:tr>
      <w:tr w14:paraId="40D04DB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22" w:hRule="atLeast"/>
          <w:jc w:val="center"/>
        </w:trPr>
        <w:tc>
          <w:tcPr>
            <w:tcW w:w="478" w:type="dxa"/>
            <w:vMerge w:val="restart"/>
            <w:vAlign w:val="center"/>
          </w:tcPr>
          <w:p w14:paraId="7C52F88D">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w:t>
            </w:r>
          </w:p>
          <w:p w14:paraId="68714FFD">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成</w:t>
            </w:r>
          </w:p>
          <w:p w14:paraId="505026A0">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级</w:t>
            </w:r>
          </w:p>
          <w:p w14:paraId="1E7172AE">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配</w:t>
            </w:r>
          </w:p>
        </w:tc>
        <w:tc>
          <w:tcPr>
            <w:tcW w:w="1420" w:type="dxa"/>
            <w:vAlign w:val="center"/>
          </w:tcPr>
          <w:p w14:paraId="32A1BD21">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4.75～16</w:t>
            </w:r>
          </w:p>
        </w:tc>
        <w:tc>
          <w:tcPr>
            <w:tcW w:w="1067" w:type="dxa"/>
            <w:vAlign w:val="center"/>
          </w:tcPr>
          <w:p w14:paraId="61E9128B">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95～100</w:t>
            </w:r>
          </w:p>
        </w:tc>
        <w:tc>
          <w:tcPr>
            <w:tcW w:w="1067" w:type="dxa"/>
            <w:vAlign w:val="center"/>
          </w:tcPr>
          <w:p w14:paraId="0CD409EF">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85～100</w:t>
            </w:r>
          </w:p>
        </w:tc>
        <w:tc>
          <w:tcPr>
            <w:tcW w:w="1067" w:type="dxa"/>
            <w:vAlign w:val="center"/>
          </w:tcPr>
          <w:p w14:paraId="267543A8">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40～60</w:t>
            </w:r>
          </w:p>
        </w:tc>
        <w:tc>
          <w:tcPr>
            <w:tcW w:w="1067" w:type="dxa"/>
            <w:vAlign w:val="center"/>
          </w:tcPr>
          <w:p w14:paraId="748B3FD1">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0～10</w:t>
            </w:r>
          </w:p>
        </w:tc>
        <w:tc>
          <w:tcPr>
            <w:tcW w:w="949" w:type="dxa"/>
            <w:vAlign w:val="center"/>
          </w:tcPr>
          <w:p w14:paraId="400841AA">
            <w:pPr>
              <w:ind w:firstLine="0" w:firstLineChars="0"/>
              <w:jc w:val="center"/>
              <w:rPr>
                <w:rFonts w:hint="eastAsia" w:ascii="仿宋" w:hAnsi="仿宋" w:eastAsia="仿宋" w:cs="仿宋"/>
                <w:color w:val="auto"/>
                <w:sz w:val="21"/>
                <w:szCs w:val="21"/>
                <w:highlight w:val="none"/>
              </w:rPr>
            </w:pPr>
          </w:p>
        </w:tc>
        <w:tc>
          <w:tcPr>
            <w:tcW w:w="949" w:type="dxa"/>
            <w:vAlign w:val="center"/>
          </w:tcPr>
          <w:p w14:paraId="12898D02">
            <w:pPr>
              <w:ind w:firstLine="0" w:firstLineChars="0"/>
              <w:jc w:val="center"/>
              <w:rPr>
                <w:rFonts w:hint="eastAsia" w:ascii="仿宋" w:hAnsi="仿宋" w:eastAsia="仿宋" w:cs="仿宋"/>
                <w:color w:val="auto"/>
                <w:sz w:val="21"/>
                <w:szCs w:val="21"/>
                <w:highlight w:val="none"/>
              </w:rPr>
            </w:pPr>
          </w:p>
        </w:tc>
        <w:tc>
          <w:tcPr>
            <w:tcW w:w="831" w:type="dxa"/>
            <w:vAlign w:val="center"/>
          </w:tcPr>
          <w:p w14:paraId="4B2EF7FC">
            <w:pPr>
              <w:ind w:firstLine="0" w:firstLineChars="0"/>
              <w:jc w:val="center"/>
              <w:rPr>
                <w:rFonts w:hint="eastAsia" w:ascii="仿宋" w:hAnsi="仿宋" w:eastAsia="仿宋" w:cs="仿宋"/>
                <w:color w:val="auto"/>
                <w:sz w:val="21"/>
                <w:szCs w:val="21"/>
                <w:highlight w:val="none"/>
              </w:rPr>
            </w:pPr>
          </w:p>
        </w:tc>
        <w:tc>
          <w:tcPr>
            <w:tcW w:w="832" w:type="dxa"/>
            <w:vAlign w:val="center"/>
          </w:tcPr>
          <w:p w14:paraId="1639307E">
            <w:pPr>
              <w:ind w:firstLine="0" w:firstLineChars="0"/>
              <w:jc w:val="center"/>
              <w:rPr>
                <w:rFonts w:hint="eastAsia" w:ascii="仿宋" w:hAnsi="仿宋" w:eastAsia="仿宋" w:cs="仿宋"/>
                <w:color w:val="auto"/>
                <w:sz w:val="21"/>
                <w:szCs w:val="21"/>
                <w:highlight w:val="none"/>
              </w:rPr>
            </w:pPr>
          </w:p>
        </w:tc>
      </w:tr>
      <w:tr w14:paraId="5EF7E49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22" w:hRule="atLeast"/>
          <w:jc w:val="center"/>
        </w:trPr>
        <w:tc>
          <w:tcPr>
            <w:tcW w:w="478" w:type="dxa"/>
            <w:vMerge w:val="continue"/>
            <w:vAlign w:val="center"/>
          </w:tcPr>
          <w:p w14:paraId="26913044">
            <w:pPr>
              <w:ind w:firstLine="0" w:firstLineChars="0"/>
              <w:jc w:val="center"/>
              <w:rPr>
                <w:rFonts w:hint="eastAsia" w:ascii="仿宋" w:hAnsi="仿宋" w:eastAsia="仿宋" w:cs="仿宋"/>
                <w:color w:val="auto"/>
                <w:sz w:val="21"/>
                <w:szCs w:val="21"/>
                <w:highlight w:val="none"/>
              </w:rPr>
            </w:pPr>
          </w:p>
        </w:tc>
        <w:tc>
          <w:tcPr>
            <w:tcW w:w="1420" w:type="dxa"/>
            <w:vAlign w:val="center"/>
          </w:tcPr>
          <w:p w14:paraId="4569B513">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4.75～19</w:t>
            </w:r>
          </w:p>
        </w:tc>
        <w:tc>
          <w:tcPr>
            <w:tcW w:w="1067" w:type="dxa"/>
            <w:vAlign w:val="center"/>
          </w:tcPr>
          <w:p w14:paraId="202A2C89">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95～100</w:t>
            </w:r>
          </w:p>
        </w:tc>
        <w:tc>
          <w:tcPr>
            <w:tcW w:w="1067" w:type="dxa"/>
            <w:vAlign w:val="center"/>
          </w:tcPr>
          <w:p w14:paraId="6B380018">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85～95</w:t>
            </w:r>
          </w:p>
        </w:tc>
        <w:tc>
          <w:tcPr>
            <w:tcW w:w="1067" w:type="dxa"/>
            <w:vAlign w:val="center"/>
          </w:tcPr>
          <w:p w14:paraId="20FB28ED">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60～75</w:t>
            </w:r>
          </w:p>
        </w:tc>
        <w:tc>
          <w:tcPr>
            <w:tcW w:w="1067" w:type="dxa"/>
            <w:vAlign w:val="center"/>
          </w:tcPr>
          <w:p w14:paraId="3296F3F8">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30～45</w:t>
            </w:r>
          </w:p>
        </w:tc>
        <w:tc>
          <w:tcPr>
            <w:tcW w:w="949" w:type="dxa"/>
            <w:vAlign w:val="center"/>
          </w:tcPr>
          <w:p w14:paraId="5301CF53">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0～5</w:t>
            </w:r>
          </w:p>
        </w:tc>
        <w:tc>
          <w:tcPr>
            <w:tcW w:w="949" w:type="dxa"/>
            <w:vAlign w:val="center"/>
          </w:tcPr>
          <w:p w14:paraId="6862014E">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w:t>
            </w:r>
          </w:p>
        </w:tc>
        <w:tc>
          <w:tcPr>
            <w:tcW w:w="831" w:type="dxa"/>
            <w:vAlign w:val="center"/>
          </w:tcPr>
          <w:p w14:paraId="44653E12">
            <w:pPr>
              <w:ind w:firstLine="0" w:firstLineChars="0"/>
              <w:jc w:val="center"/>
              <w:rPr>
                <w:rFonts w:hint="eastAsia" w:ascii="仿宋" w:hAnsi="仿宋" w:eastAsia="仿宋" w:cs="仿宋"/>
                <w:color w:val="auto"/>
                <w:sz w:val="21"/>
                <w:szCs w:val="21"/>
                <w:highlight w:val="none"/>
              </w:rPr>
            </w:pPr>
          </w:p>
        </w:tc>
        <w:tc>
          <w:tcPr>
            <w:tcW w:w="832" w:type="dxa"/>
            <w:vAlign w:val="center"/>
          </w:tcPr>
          <w:p w14:paraId="41EE7662">
            <w:pPr>
              <w:ind w:firstLine="0" w:firstLineChars="0"/>
              <w:jc w:val="center"/>
              <w:rPr>
                <w:rFonts w:hint="eastAsia" w:ascii="仿宋" w:hAnsi="仿宋" w:eastAsia="仿宋" w:cs="仿宋"/>
                <w:color w:val="auto"/>
                <w:sz w:val="21"/>
                <w:szCs w:val="21"/>
                <w:highlight w:val="none"/>
              </w:rPr>
            </w:pPr>
          </w:p>
        </w:tc>
      </w:tr>
      <w:tr w14:paraId="18C6C27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22" w:hRule="atLeast"/>
          <w:jc w:val="center"/>
        </w:trPr>
        <w:tc>
          <w:tcPr>
            <w:tcW w:w="478" w:type="dxa"/>
            <w:vMerge w:val="continue"/>
            <w:vAlign w:val="center"/>
          </w:tcPr>
          <w:p w14:paraId="7994290D">
            <w:pPr>
              <w:ind w:firstLine="0" w:firstLineChars="0"/>
              <w:jc w:val="center"/>
              <w:rPr>
                <w:rFonts w:hint="eastAsia" w:ascii="仿宋" w:hAnsi="仿宋" w:eastAsia="仿宋" w:cs="仿宋"/>
                <w:color w:val="auto"/>
                <w:sz w:val="21"/>
                <w:szCs w:val="21"/>
                <w:highlight w:val="none"/>
              </w:rPr>
            </w:pPr>
          </w:p>
        </w:tc>
        <w:tc>
          <w:tcPr>
            <w:tcW w:w="1420" w:type="dxa"/>
            <w:vAlign w:val="center"/>
          </w:tcPr>
          <w:p w14:paraId="204B93BC">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4.75～26.5</w:t>
            </w:r>
          </w:p>
        </w:tc>
        <w:tc>
          <w:tcPr>
            <w:tcW w:w="1067" w:type="dxa"/>
            <w:vAlign w:val="center"/>
          </w:tcPr>
          <w:p w14:paraId="75CF365C">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95～100</w:t>
            </w:r>
          </w:p>
        </w:tc>
        <w:tc>
          <w:tcPr>
            <w:tcW w:w="1067" w:type="dxa"/>
            <w:vAlign w:val="center"/>
          </w:tcPr>
          <w:p w14:paraId="7BDCF1DA">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90～100</w:t>
            </w:r>
          </w:p>
        </w:tc>
        <w:tc>
          <w:tcPr>
            <w:tcW w:w="1067" w:type="dxa"/>
            <w:vAlign w:val="center"/>
          </w:tcPr>
          <w:p w14:paraId="3813A5E5">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70～90</w:t>
            </w:r>
          </w:p>
        </w:tc>
        <w:tc>
          <w:tcPr>
            <w:tcW w:w="1067" w:type="dxa"/>
            <w:vAlign w:val="center"/>
          </w:tcPr>
          <w:p w14:paraId="6B8B15A8">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50～70</w:t>
            </w:r>
          </w:p>
        </w:tc>
        <w:tc>
          <w:tcPr>
            <w:tcW w:w="949" w:type="dxa"/>
            <w:vAlign w:val="center"/>
          </w:tcPr>
          <w:p w14:paraId="05767A5F">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25～40</w:t>
            </w:r>
          </w:p>
        </w:tc>
        <w:tc>
          <w:tcPr>
            <w:tcW w:w="949" w:type="dxa"/>
            <w:vAlign w:val="center"/>
          </w:tcPr>
          <w:p w14:paraId="3C853628">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0～5</w:t>
            </w:r>
          </w:p>
        </w:tc>
        <w:tc>
          <w:tcPr>
            <w:tcW w:w="831" w:type="dxa"/>
            <w:vAlign w:val="center"/>
          </w:tcPr>
          <w:p w14:paraId="3739D3C7">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w:t>
            </w:r>
          </w:p>
        </w:tc>
        <w:tc>
          <w:tcPr>
            <w:tcW w:w="832" w:type="dxa"/>
            <w:vAlign w:val="center"/>
          </w:tcPr>
          <w:p w14:paraId="74813B9C">
            <w:pPr>
              <w:ind w:firstLine="0" w:firstLineChars="0"/>
              <w:jc w:val="center"/>
              <w:rPr>
                <w:rFonts w:hint="eastAsia" w:ascii="仿宋" w:hAnsi="仿宋" w:eastAsia="仿宋" w:cs="仿宋"/>
                <w:color w:val="auto"/>
                <w:sz w:val="21"/>
                <w:szCs w:val="21"/>
                <w:highlight w:val="none"/>
              </w:rPr>
            </w:pPr>
          </w:p>
        </w:tc>
      </w:tr>
      <w:tr w14:paraId="431CE9B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22" w:hRule="atLeast"/>
          <w:jc w:val="center"/>
        </w:trPr>
        <w:tc>
          <w:tcPr>
            <w:tcW w:w="478" w:type="dxa"/>
            <w:vMerge w:val="continue"/>
            <w:vAlign w:val="center"/>
          </w:tcPr>
          <w:p w14:paraId="3F34B43B">
            <w:pPr>
              <w:ind w:firstLine="0" w:firstLineChars="0"/>
              <w:jc w:val="center"/>
              <w:rPr>
                <w:rFonts w:hint="eastAsia" w:ascii="仿宋" w:hAnsi="仿宋" w:eastAsia="仿宋" w:cs="仿宋"/>
                <w:color w:val="auto"/>
                <w:sz w:val="21"/>
                <w:szCs w:val="21"/>
                <w:highlight w:val="none"/>
              </w:rPr>
            </w:pPr>
          </w:p>
        </w:tc>
        <w:tc>
          <w:tcPr>
            <w:tcW w:w="1420" w:type="dxa"/>
            <w:vAlign w:val="center"/>
          </w:tcPr>
          <w:p w14:paraId="6881FAD5">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4.75～31.5</w:t>
            </w:r>
          </w:p>
        </w:tc>
        <w:tc>
          <w:tcPr>
            <w:tcW w:w="1067" w:type="dxa"/>
            <w:vAlign w:val="center"/>
          </w:tcPr>
          <w:p w14:paraId="4A0A4A7A">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95～100</w:t>
            </w:r>
          </w:p>
        </w:tc>
        <w:tc>
          <w:tcPr>
            <w:tcW w:w="1067" w:type="dxa"/>
            <w:vAlign w:val="center"/>
          </w:tcPr>
          <w:p w14:paraId="2EBB171C">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90～100</w:t>
            </w:r>
          </w:p>
        </w:tc>
        <w:tc>
          <w:tcPr>
            <w:tcW w:w="1067" w:type="dxa"/>
            <w:vAlign w:val="center"/>
          </w:tcPr>
          <w:p w14:paraId="0BA55BA5">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75～90</w:t>
            </w:r>
          </w:p>
        </w:tc>
        <w:tc>
          <w:tcPr>
            <w:tcW w:w="1067" w:type="dxa"/>
            <w:vAlign w:val="center"/>
          </w:tcPr>
          <w:p w14:paraId="482F0B9D">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60～75</w:t>
            </w:r>
          </w:p>
        </w:tc>
        <w:tc>
          <w:tcPr>
            <w:tcW w:w="949" w:type="dxa"/>
            <w:vAlign w:val="center"/>
          </w:tcPr>
          <w:p w14:paraId="08485C17">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40～60</w:t>
            </w:r>
          </w:p>
        </w:tc>
        <w:tc>
          <w:tcPr>
            <w:tcW w:w="949" w:type="dxa"/>
            <w:vAlign w:val="center"/>
          </w:tcPr>
          <w:p w14:paraId="39E14E75">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20～35</w:t>
            </w:r>
          </w:p>
        </w:tc>
        <w:tc>
          <w:tcPr>
            <w:tcW w:w="831" w:type="dxa"/>
            <w:vAlign w:val="center"/>
          </w:tcPr>
          <w:p w14:paraId="4D0B6301">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0～5</w:t>
            </w:r>
          </w:p>
        </w:tc>
        <w:tc>
          <w:tcPr>
            <w:tcW w:w="832" w:type="dxa"/>
            <w:vAlign w:val="center"/>
          </w:tcPr>
          <w:p w14:paraId="083E429D">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w:t>
            </w:r>
          </w:p>
        </w:tc>
      </w:tr>
      <w:tr w14:paraId="3BCBD5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22" w:hRule="atLeast"/>
          <w:jc w:val="center"/>
        </w:trPr>
        <w:tc>
          <w:tcPr>
            <w:tcW w:w="478" w:type="dxa"/>
            <w:vMerge w:val="restart"/>
            <w:vAlign w:val="center"/>
          </w:tcPr>
          <w:p w14:paraId="0D04500C">
            <w:pPr>
              <w:ind w:firstLine="0" w:firstLineChars="0"/>
              <w:jc w:val="center"/>
              <w:rPr>
                <w:rFonts w:hint="eastAsia" w:ascii="仿宋" w:hAnsi="仿宋" w:eastAsia="仿宋" w:cs="仿宋"/>
                <w:color w:val="auto"/>
                <w:sz w:val="21"/>
                <w:szCs w:val="21"/>
                <w:highlight w:val="none"/>
              </w:rPr>
            </w:pPr>
          </w:p>
          <w:p w14:paraId="7C4760F5">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粒</w:t>
            </w:r>
          </w:p>
          <w:p w14:paraId="585936A2">
            <w:pPr>
              <w:ind w:firstLine="0" w:firstLineChars="0"/>
              <w:jc w:val="center"/>
              <w:rPr>
                <w:rFonts w:hint="eastAsia" w:ascii="仿宋" w:hAnsi="仿宋" w:eastAsia="仿宋" w:cs="仿宋"/>
                <w:color w:val="auto"/>
                <w:sz w:val="21"/>
                <w:szCs w:val="21"/>
                <w:highlight w:val="none"/>
              </w:rPr>
            </w:pPr>
          </w:p>
          <w:p w14:paraId="437CCD01">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级</w:t>
            </w:r>
          </w:p>
        </w:tc>
        <w:tc>
          <w:tcPr>
            <w:tcW w:w="1420" w:type="dxa"/>
            <w:vAlign w:val="center"/>
          </w:tcPr>
          <w:p w14:paraId="048E2311">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4.75～9.5</w:t>
            </w:r>
          </w:p>
        </w:tc>
        <w:tc>
          <w:tcPr>
            <w:tcW w:w="1067" w:type="dxa"/>
            <w:vAlign w:val="center"/>
          </w:tcPr>
          <w:p w14:paraId="559DCAD8">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95～100</w:t>
            </w:r>
          </w:p>
        </w:tc>
        <w:tc>
          <w:tcPr>
            <w:tcW w:w="1067" w:type="dxa"/>
            <w:vAlign w:val="center"/>
          </w:tcPr>
          <w:p w14:paraId="1FF88404">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80～100</w:t>
            </w:r>
          </w:p>
        </w:tc>
        <w:tc>
          <w:tcPr>
            <w:tcW w:w="1067" w:type="dxa"/>
            <w:vAlign w:val="center"/>
          </w:tcPr>
          <w:p w14:paraId="6BC0C6D8">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0～15</w:t>
            </w:r>
          </w:p>
        </w:tc>
        <w:tc>
          <w:tcPr>
            <w:tcW w:w="1067" w:type="dxa"/>
            <w:vAlign w:val="center"/>
          </w:tcPr>
          <w:p w14:paraId="1BEDDB1F">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w:t>
            </w:r>
          </w:p>
        </w:tc>
        <w:tc>
          <w:tcPr>
            <w:tcW w:w="949" w:type="dxa"/>
            <w:vAlign w:val="center"/>
          </w:tcPr>
          <w:p w14:paraId="546AF1A7">
            <w:pPr>
              <w:ind w:firstLine="0" w:firstLineChars="0"/>
              <w:jc w:val="center"/>
              <w:rPr>
                <w:rFonts w:hint="eastAsia" w:ascii="仿宋" w:hAnsi="仿宋" w:eastAsia="仿宋" w:cs="仿宋"/>
                <w:color w:val="auto"/>
                <w:sz w:val="21"/>
                <w:szCs w:val="21"/>
                <w:highlight w:val="none"/>
              </w:rPr>
            </w:pPr>
          </w:p>
        </w:tc>
        <w:tc>
          <w:tcPr>
            <w:tcW w:w="949" w:type="dxa"/>
            <w:vAlign w:val="center"/>
          </w:tcPr>
          <w:p w14:paraId="0011F126">
            <w:pPr>
              <w:ind w:firstLine="0" w:firstLineChars="0"/>
              <w:jc w:val="center"/>
              <w:rPr>
                <w:rFonts w:hint="eastAsia" w:ascii="仿宋" w:hAnsi="仿宋" w:eastAsia="仿宋" w:cs="仿宋"/>
                <w:color w:val="auto"/>
                <w:sz w:val="21"/>
                <w:szCs w:val="21"/>
                <w:highlight w:val="none"/>
              </w:rPr>
            </w:pPr>
          </w:p>
        </w:tc>
        <w:tc>
          <w:tcPr>
            <w:tcW w:w="831" w:type="dxa"/>
            <w:vAlign w:val="center"/>
          </w:tcPr>
          <w:p w14:paraId="61A82662">
            <w:pPr>
              <w:ind w:firstLine="0" w:firstLineChars="0"/>
              <w:jc w:val="center"/>
              <w:rPr>
                <w:rFonts w:hint="eastAsia" w:ascii="仿宋" w:hAnsi="仿宋" w:eastAsia="仿宋" w:cs="仿宋"/>
                <w:color w:val="auto"/>
                <w:sz w:val="21"/>
                <w:szCs w:val="21"/>
                <w:highlight w:val="none"/>
              </w:rPr>
            </w:pPr>
          </w:p>
        </w:tc>
        <w:tc>
          <w:tcPr>
            <w:tcW w:w="832" w:type="dxa"/>
            <w:vAlign w:val="center"/>
          </w:tcPr>
          <w:p w14:paraId="60B91F6F">
            <w:pPr>
              <w:ind w:firstLine="0" w:firstLineChars="0"/>
              <w:jc w:val="center"/>
              <w:rPr>
                <w:rFonts w:hint="eastAsia" w:ascii="仿宋" w:hAnsi="仿宋" w:eastAsia="仿宋" w:cs="仿宋"/>
                <w:color w:val="auto"/>
                <w:sz w:val="21"/>
                <w:szCs w:val="21"/>
                <w:highlight w:val="none"/>
              </w:rPr>
            </w:pPr>
          </w:p>
        </w:tc>
      </w:tr>
      <w:tr w14:paraId="52FCF31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22" w:hRule="atLeast"/>
          <w:jc w:val="center"/>
        </w:trPr>
        <w:tc>
          <w:tcPr>
            <w:tcW w:w="478" w:type="dxa"/>
            <w:vMerge w:val="continue"/>
            <w:vAlign w:val="center"/>
          </w:tcPr>
          <w:p w14:paraId="54A8A251">
            <w:pPr>
              <w:ind w:firstLine="0" w:firstLineChars="0"/>
              <w:jc w:val="center"/>
              <w:rPr>
                <w:rFonts w:hint="eastAsia" w:ascii="仿宋" w:hAnsi="仿宋" w:eastAsia="仿宋" w:cs="仿宋"/>
                <w:color w:val="auto"/>
                <w:sz w:val="21"/>
                <w:szCs w:val="21"/>
                <w:highlight w:val="none"/>
              </w:rPr>
            </w:pPr>
          </w:p>
        </w:tc>
        <w:tc>
          <w:tcPr>
            <w:tcW w:w="1420" w:type="dxa"/>
            <w:vAlign w:val="center"/>
          </w:tcPr>
          <w:p w14:paraId="24DA8D0D">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9.5～16</w:t>
            </w:r>
          </w:p>
        </w:tc>
        <w:tc>
          <w:tcPr>
            <w:tcW w:w="1067" w:type="dxa"/>
            <w:vAlign w:val="center"/>
          </w:tcPr>
          <w:p w14:paraId="6DC4B6F5">
            <w:pPr>
              <w:ind w:firstLine="0" w:firstLineChars="0"/>
              <w:jc w:val="center"/>
              <w:rPr>
                <w:rFonts w:hint="eastAsia" w:ascii="仿宋" w:hAnsi="仿宋" w:eastAsia="仿宋" w:cs="仿宋"/>
                <w:color w:val="auto"/>
                <w:sz w:val="21"/>
                <w:szCs w:val="21"/>
                <w:highlight w:val="none"/>
              </w:rPr>
            </w:pPr>
          </w:p>
        </w:tc>
        <w:tc>
          <w:tcPr>
            <w:tcW w:w="1067" w:type="dxa"/>
            <w:vAlign w:val="center"/>
          </w:tcPr>
          <w:p w14:paraId="6EC4FE59">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95～100</w:t>
            </w:r>
          </w:p>
        </w:tc>
        <w:tc>
          <w:tcPr>
            <w:tcW w:w="1067" w:type="dxa"/>
            <w:vAlign w:val="center"/>
          </w:tcPr>
          <w:p w14:paraId="67C41A05">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80～100</w:t>
            </w:r>
          </w:p>
        </w:tc>
        <w:tc>
          <w:tcPr>
            <w:tcW w:w="1067" w:type="dxa"/>
            <w:vAlign w:val="center"/>
          </w:tcPr>
          <w:p w14:paraId="01288F73">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0～15</w:t>
            </w:r>
          </w:p>
        </w:tc>
        <w:tc>
          <w:tcPr>
            <w:tcW w:w="949" w:type="dxa"/>
            <w:vAlign w:val="center"/>
          </w:tcPr>
          <w:p w14:paraId="7C5CC735">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w:t>
            </w:r>
          </w:p>
        </w:tc>
        <w:tc>
          <w:tcPr>
            <w:tcW w:w="949" w:type="dxa"/>
            <w:vAlign w:val="center"/>
          </w:tcPr>
          <w:p w14:paraId="207066D2">
            <w:pPr>
              <w:ind w:firstLine="0" w:firstLineChars="0"/>
              <w:jc w:val="center"/>
              <w:rPr>
                <w:rFonts w:hint="eastAsia" w:ascii="仿宋" w:hAnsi="仿宋" w:eastAsia="仿宋" w:cs="仿宋"/>
                <w:color w:val="auto"/>
                <w:sz w:val="21"/>
                <w:szCs w:val="21"/>
                <w:highlight w:val="none"/>
              </w:rPr>
            </w:pPr>
          </w:p>
        </w:tc>
        <w:tc>
          <w:tcPr>
            <w:tcW w:w="831" w:type="dxa"/>
            <w:vAlign w:val="center"/>
          </w:tcPr>
          <w:p w14:paraId="37D90078">
            <w:pPr>
              <w:ind w:firstLine="0" w:firstLineChars="0"/>
              <w:jc w:val="center"/>
              <w:rPr>
                <w:rFonts w:hint="eastAsia" w:ascii="仿宋" w:hAnsi="仿宋" w:eastAsia="仿宋" w:cs="仿宋"/>
                <w:color w:val="auto"/>
                <w:sz w:val="21"/>
                <w:szCs w:val="21"/>
                <w:highlight w:val="none"/>
              </w:rPr>
            </w:pPr>
          </w:p>
        </w:tc>
        <w:tc>
          <w:tcPr>
            <w:tcW w:w="832" w:type="dxa"/>
            <w:vAlign w:val="center"/>
          </w:tcPr>
          <w:p w14:paraId="193E9553">
            <w:pPr>
              <w:ind w:firstLine="0" w:firstLineChars="0"/>
              <w:jc w:val="center"/>
              <w:rPr>
                <w:rFonts w:hint="eastAsia" w:ascii="仿宋" w:hAnsi="仿宋" w:eastAsia="仿宋" w:cs="仿宋"/>
                <w:color w:val="auto"/>
                <w:sz w:val="21"/>
                <w:szCs w:val="21"/>
                <w:highlight w:val="none"/>
              </w:rPr>
            </w:pPr>
          </w:p>
        </w:tc>
      </w:tr>
      <w:tr w14:paraId="20DF82E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22" w:hRule="atLeast"/>
          <w:jc w:val="center"/>
        </w:trPr>
        <w:tc>
          <w:tcPr>
            <w:tcW w:w="478" w:type="dxa"/>
            <w:vMerge w:val="continue"/>
            <w:vAlign w:val="center"/>
          </w:tcPr>
          <w:p w14:paraId="54DF4231">
            <w:pPr>
              <w:ind w:firstLine="0" w:firstLineChars="0"/>
              <w:jc w:val="center"/>
              <w:rPr>
                <w:rFonts w:hint="eastAsia" w:ascii="仿宋" w:hAnsi="仿宋" w:eastAsia="仿宋" w:cs="仿宋"/>
                <w:color w:val="auto"/>
                <w:sz w:val="21"/>
                <w:szCs w:val="21"/>
                <w:highlight w:val="none"/>
              </w:rPr>
            </w:pPr>
          </w:p>
        </w:tc>
        <w:tc>
          <w:tcPr>
            <w:tcW w:w="1420" w:type="dxa"/>
            <w:vAlign w:val="center"/>
          </w:tcPr>
          <w:p w14:paraId="22F98D72">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9.5～19</w:t>
            </w:r>
          </w:p>
        </w:tc>
        <w:tc>
          <w:tcPr>
            <w:tcW w:w="1067" w:type="dxa"/>
            <w:vAlign w:val="center"/>
          </w:tcPr>
          <w:p w14:paraId="1DDB443D">
            <w:pPr>
              <w:ind w:firstLine="0" w:firstLineChars="0"/>
              <w:jc w:val="center"/>
              <w:rPr>
                <w:rFonts w:hint="eastAsia" w:ascii="仿宋" w:hAnsi="仿宋" w:eastAsia="仿宋" w:cs="仿宋"/>
                <w:color w:val="auto"/>
                <w:sz w:val="21"/>
                <w:szCs w:val="21"/>
                <w:highlight w:val="none"/>
              </w:rPr>
            </w:pPr>
          </w:p>
        </w:tc>
        <w:tc>
          <w:tcPr>
            <w:tcW w:w="1067" w:type="dxa"/>
            <w:vAlign w:val="center"/>
          </w:tcPr>
          <w:p w14:paraId="745EB715">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95～100</w:t>
            </w:r>
          </w:p>
        </w:tc>
        <w:tc>
          <w:tcPr>
            <w:tcW w:w="1067" w:type="dxa"/>
            <w:vAlign w:val="center"/>
          </w:tcPr>
          <w:p w14:paraId="0A2E527D">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85～100</w:t>
            </w:r>
          </w:p>
        </w:tc>
        <w:tc>
          <w:tcPr>
            <w:tcW w:w="1067" w:type="dxa"/>
            <w:vAlign w:val="center"/>
          </w:tcPr>
          <w:p w14:paraId="618818C4">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40～60</w:t>
            </w:r>
          </w:p>
        </w:tc>
        <w:tc>
          <w:tcPr>
            <w:tcW w:w="949" w:type="dxa"/>
            <w:vAlign w:val="center"/>
          </w:tcPr>
          <w:p w14:paraId="6468756D">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0～15</w:t>
            </w:r>
          </w:p>
        </w:tc>
        <w:tc>
          <w:tcPr>
            <w:tcW w:w="949" w:type="dxa"/>
            <w:vAlign w:val="center"/>
          </w:tcPr>
          <w:p w14:paraId="08F0F534">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w:t>
            </w:r>
          </w:p>
        </w:tc>
        <w:tc>
          <w:tcPr>
            <w:tcW w:w="831" w:type="dxa"/>
            <w:vAlign w:val="center"/>
          </w:tcPr>
          <w:p w14:paraId="4F73FC11">
            <w:pPr>
              <w:ind w:firstLine="0" w:firstLineChars="0"/>
              <w:jc w:val="center"/>
              <w:rPr>
                <w:rFonts w:hint="eastAsia" w:ascii="仿宋" w:hAnsi="仿宋" w:eastAsia="仿宋" w:cs="仿宋"/>
                <w:color w:val="auto"/>
                <w:sz w:val="21"/>
                <w:szCs w:val="21"/>
                <w:highlight w:val="none"/>
              </w:rPr>
            </w:pPr>
          </w:p>
        </w:tc>
        <w:tc>
          <w:tcPr>
            <w:tcW w:w="832" w:type="dxa"/>
            <w:vAlign w:val="center"/>
          </w:tcPr>
          <w:p w14:paraId="676B9D97">
            <w:pPr>
              <w:ind w:firstLine="0" w:firstLineChars="0"/>
              <w:jc w:val="center"/>
              <w:rPr>
                <w:rFonts w:hint="eastAsia" w:ascii="仿宋" w:hAnsi="仿宋" w:eastAsia="仿宋" w:cs="仿宋"/>
                <w:color w:val="auto"/>
                <w:sz w:val="21"/>
                <w:szCs w:val="21"/>
                <w:highlight w:val="none"/>
              </w:rPr>
            </w:pPr>
          </w:p>
        </w:tc>
      </w:tr>
      <w:tr w14:paraId="4F02F3E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22" w:hRule="atLeast"/>
          <w:jc w:val="center"/>
        </w:trPr>
        <w:tc>
          <w:tcPr>
            <w:tcW w:w="478" w:type="dxa"/>
            <w:vMerge w:val="continue"/>
            <w:vAlign w:val="center"/>
          </w:tcPr>
          <w:p w14:paraId="5E46BED8">
            <w:pPr>
              <w:ind w:firstLine="0" w:firstLineChars="0"/>
              <w:jc w:val="center"/>
              <w:rPr>
                <w:rFonts w:hint="eastAsia" w:ascii="仿宋" w:hAnsi="仿宋" w:eastAsia="仿宋" w:cs="仿宋"/>
                <w:color w:val="auto"/>
                <w:sz w:val="21"/>
                <w:szCs w:val="21"/>
                <w:highlight w:val="none"/>
              </w:rPr>
            </w:pPr>
          </w:p>
        </w:tc>
        <w:tc>
          <w:tcPr>
            <w:tcW w:w="1420" w:type="dxa"/>
            <w:vAlign w:val="center"/>
          </w:tcPr>
          <w:p w14:paraId="2D332C3E">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16～26.5</w:t>
            </w:r>
          </w:p>
        </w:tc>
        <w:tc>
          <w:tcPr>
            <w:tcW w:w="1067" w:type="dxa"/>
            <w:vAlign w:val="center"/>
          </w:tcPr>
          <w:p w14:paraId="1977918E">
            <w:pPr>
              <w:ind w:firstLine="0" w:firstLineChars="0"/>
              <w:jc w:val="center"/>
              <w:rPr>
                <w:rFonts w:hint="eastAsia" w:ascii="仿宋" w:hAnsi="仿宋" w:eastAsia="仿宋" w:cs="仿宋"/>
                <w:color w:val="auto"/>
                <w:sz w:val="21"/>
                <w:szCs w:val="21"/>
                <w:highlight w:val="none"/>
              </w:rPr>
            </w:pPr>
          </w:p>
        </w:tc>
        <w:tc>
          <w:tcPr>
            <w:tcW w:w="1067" w:type="dxa"/>
            <w:vAlign w:val="center"/>
          </w:tcPr>
          <w:p w14:paraId="557FA580">
            <w:pPr>
              <w:ind w:firstLine="0" w:firstLineChars="0"/>
              <w:jc w:val="center"/>
              <w:rPr>
                <w:rFonts w:hint="eastAsia" w:ascii="仿宋" w:hAnsi="仿宋" w:eastAsia="仿宋" w:cs="仿宋"/>
                <w:color w:val="auto"/>
                <w:sz w:val="21"/>
                <w:szCs w:val="21"/>
                <w:highlight w:val="none"/>
              </w:rPr>
            </w:pPr>
          </w:p>
        </w:tc>
        <w:tc>
          <w:tcPr>
            <w:tcW w:w="1067" w:type="dxa"/>
            <w:vAlign w:val="center"/>
          </w:tcPr>
          <w:p w14:paraId="16CD1CC7">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95～100</w:t>
            </w:r>
          </w:p>
        </w:tc>
        <w:tc>
          <w:tcPr>
            <w:tcW w:w="1067" w:type="dxa"/>
            <w:vAlign w:val="center"/>
          </w:tcPr>
          <w:p w14:paraId="1701305F">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55～70</w:t>
            </w:r>
          </w:p>
        </w:tc>
        <w:tc>
          <w:tcPr>
            <w:tcW w:w="949" w:type="dxa"/>
            <w:vAlign w:val="center"/>
          </w:tcPr>
          <w:p w14:paraId="0A458B69">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25～40</w:t>
            </w:r>
          </w:p>
        </w:tc>
        <w:tc>
          <w:tcPr>
            <w:tcW w:w="949" w:type="dxa"/>
            <w:vAlign w:val="center"/>
          </w:tcPr>
          <w:p w14:paraId="08CF7C30">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0～10</w:t>
            </w:r>
          </w:p>
        </w:tc>
        <w:tc>
          <w:tcPr>
            <w:tcW w:w="831" w:type="dxa"/>
            <w:vAlign w:val="center"/>
          </w:tcPr>
          <w:p w14:paraId="105F475C">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w:t>
            </w:r>
          </w:p>
        </w:tc>
        <w:tc>
          <w:tcPr>
            <w:tcW w:w="832" w:type="dxa"/>
            <w:vAlign w:val="center"/>
          </w:tcPr>
          <w:p w14:paraId="702638FF">
            <w:pPr>
              <w:ind w:firstLine="0" w:firstLineChars="0"/>
              <w:jc w:val="center"/>
              <w:rPr>
                <w:rFonts w:hint="eastAsia" w:ascii="仿宋" w:hAnsi="仿宋" w:eastAsia="仿宋" w:cs="仿宋"/>
                <w:color w:val="auto"/>
                <w:sz w:val="21"/>
                <w:szCs w:val="21"/>
                <w:highlight w:val="none"/>
              </w:rPr>
            </w:pPr>
          </w:p>
        </w:tc>
      </w:tr>
      <w:tr w14:paraId="072F0D8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22" w:hRule="atLeast"/>
          <w:jc w:val="center"/>
        </w:trPr>
        <w:tc>
          <w:tcPr>
            <w:tcW w:w="478" w:type="dxa"/>
            <w:vMerge w:val="continue"/>
            <w:vAlign w:val="center"/>
          </w:tcPr>
          <w:p w14:paraId="6F062536">
            <w:pPr>
              <w:ind w:firstLine="0" w:firstLineChars="0"/>
              <w:jc w:val="center"/>
              <w:rPr>
                <w:rFonts w:hint="eastAsia" w:ascii="仿宋" w:hAnsi="仿宋" w:eastAsia="仿宋" w:cs="仿宋"/>
                <w:color w:val="auto"/>
                <w:sz w:val="21"/>
                <w:szCs w:val="21"/>
                <w:highlight w:val="none"/>
              </w:rPr>
            </w:pPr>
          </w:p>
        </w:tc>
        <w:tc>
          <w:tcPr>
            <w:tcW w:w="1420" w:type="dxa"/>
            <w:vAlign w:val="center"/>
          </w:tcPr>
          <w:p w14:paraId="0FA0E7D4">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16～31.5</w:t>
            </w:r>
          </w:p>
        </w:tc>
        <w:tc>
          <w:tcPr>
            <w:tcW w:w="1067" w:type="dxa"/>
            <w:vAlign w:val="center"/>
          </w:tcPr>
          <w:p w14:paraId="090B834A">
            <w:pPr>
              <w:ind w:firstLine="0" w:firstLineChars="0"/>
              <w:jc w:val="center"/>
              <w:rPr>
                <w:rFonts w:hint="eastAsia" w:ascii="仿宋" w:hAnsi="仿宋" w:eastAsia="仿宋" w:cs="仿宋"/>
                <w:color w:val="auto"/>
                <w:sz w:val="21"/>
                <w:szCs w:val="21"/>
                <w:highlight w:val="none"/>
              </w:rPr>
            </w:pPr>
          </w:p>
        </w:tc>
        <w:tc>
          <w:tcPr>
            <w:tcW w:w="1067" w:type="dxa"/>
            <w:vAlign w:val="center"/>
          </w:tcPr>
          <w:p w14:paraId="32F99904">
            <w:pPr>
              <w:ind w:firstLine="0" w:firstLineChars="0"/>
              <w:jc w:val="center"/>
              <w:rPr>
                <w:rFonts w:hint="eastAsia" w:ascii="仿宋" w:hAnsi="仿宋" w:eastAsia="仿宋" w:cs="仿宋"/>
                <w:color w:val="auto"/>
                <w:sz w:val="21"/>
                <w:szCs w:val="21"/>
                <w:highlight w:val="none"/>
              </w:rPr>
            </w:pPr>
          </w:p>
        </w:tc>
        <w:tc>
          <w:tcPr>
            <w:tcW w:w="1067" w:type="dxa"/>
            <w:vAlign w:val="center"/>
          </w:tcPr>
          <w:p w14:paraId="7423D226">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95～100</w:t>
            </w:r>
          </w:p>
        </w:tc>
        <w:tc>
          <w:tcPr>
            <w:tcW w:w="1067" w:type="dxa"/>
            <w:vAlign w:val="center"/>
          </w:tcPr>
          <w:p w14:paraId="7DDDC643">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85～100</w:t>
            </w:r>
          </w:p>
        </w:tc>
        <w:tc>
          <w:tcPr>
            <w:tcW w:w="949" w:type="dxa"/>
            <w:vAlign w:val="center"/>
          </w:tcPr>
          <w:p w14:paraId="4862C0EB">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55～70</w:t>
            </w:r>
          </w:p>
        </w:tc>
        <w:tc>
          <w:tcPr>
            <w:tcW w:w="949" w:type="dxa"/>
            <w:vAlign w:val="center"/>
          </w:tcPr>
          <w:p w14:paraId="0B6E0199">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25～40</w:t>
            </w:r>
          </w:p>
        </w:tc>
        <w:tc>
          <w:tcPr>
            <w:tcW w:w="831" w:type="dxa"/>
            <w:vAlign w:val="center"/>
          </w:tcPr>
          <w:p w14:paraId="5DC9C3A6">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0～10</w:t>
            </w:r>
          </w:p>
        </w:tc>
        <w:tc>
          <w:tcPr>
            <w:tcW w:w="832" w:type="dxa"/>
            <w:vAlign w:val="center"/>
          </w:tcPr>
          <w:p w14:paraId="245DF9F4">
            <w:pPr>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w:t>
            </w:r>
          </w:p>
        </w:tc>
      </w:tr>
    </w:tbl>
    <w:p w14:paraId="2950CCF8">
      <w:pPr>
        <w:pStyle w:val="29"/>
        <w:ind w:firstLine="560" w:firstLineChars="20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④水</w:t>
      </w:r>
    </w:p>
    <w:p w14:paraId="2F73D669">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混凝土及养护用水应清洁，使用非饮水时，应经过化验，硫酸盐含量（按SO4）计不得超过2700mg/L；含盐量不得超过5000mg/L，PH值不得小于4，不得含有油污、泥和其它有害物质。</w:t>
      </w:r>
    </w:p>
    <w:p w14:paraId="19B5BEE8">
      <w:pPr>
        <w:pStyle w:val="29"/>
        <w:ind w:firstLine="560" w:firstLineChars="20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⑤钢筋</w:t>
      </w:r>
    </w:p>
    <w:p w14:paraId="3FFE7F1F">
      <w:pPr>
        <w:spacing w:line="500" w:lineRule="exact"/>
        <w:ind w:firstLine="560"/>
        <w:rPr>
          <w:rFonts w:hint="eastAsia" w:hAnsi="宋体"/>
          <w:color w:val="auto"/>
          <w:highlight w:val="none"/>
        </w:rPr>
      </w:pPr>
      <w:r>
        <w:rPr>
          <w:rFonts w:hint="eastAsia" w:ascii="仿宋" w:hAnsi="仿宋" w:eastAsia="仿宋" w:cs="仿宋"/>
          <w:color w:val="auto"/>
          <w:szCs w:val="28"/>
          <w:highlight w:val="none"/>
        </w:rPr>
        <w:t>钢筋品种、规格应符合设计和国家有关标准的技术要求，钢筋应顺直，不得有裂缝、断伤、刻痕，表面油污和颗粒状或片状锈蚀应清除。传力杆钢筋加工应锯断，不得挤压切断；断口应垂直、光圆，用砂轮打磨掉毛刺，并加工成2～3mm圆倒角</w:t>
      </w:r>
      <w:r>
        <w:rPr>
          <w:rFonts w:hAnsi="宋体"/>
          <w:color w:val="auto"/>
          <w:highlight w:val="none"/>
        </w:rPr>
        <w:t>。</w:t>
      </w:r>
    </w:p>
    <w:p w14:paraId="6782432A">
      <w:pPr>
        <w:pStyle w:val="29"/>
        <w:ind w:firstLine="560" w:firstLineChars="20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⑥接缝材料</w:t>
      </w:r>
    </w:p>
    <w:p w14:paraId="33966B35">
      <w:pPr>
        <w:spacing w:line="500" w:lineRule="exact"/>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应选用能适应混凝土板膨胀和收缩、施工时不变形，弹性复原率高、耐久性好的胀缝板。</w:t>
      </w:r>
    </w:p>
    <w:p w14:paraId="5C484909">
      <w:pPr>
        <w:spacing w:line="500" w:lineRule="exact"/>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填缝材料应具有与混凝土板壁粘结牢固、回弹性好、不溶于水、不渗水、高温时不挤出、不流淌、抗嵌入能力强、耐老化龟裂、负温拉伸量大、低温时不脆裂、耐久性好等性能。接缝材料的各项指标应满足规范的要求。</w:t>
      </w:r>
    </w:p>
    <w:p w14:paraId="4AE54EE4">
      <w:pPr>
        <w:spacing w:line="500" w:lineRule="exact"/>
        <w:ind w:firstLine="560"/>
        <w:rPr>
          <w:rFonts w:hint="eastAsia" w:ascii="仿宋" w:hAnsi="仿宋" w:eastAsia="仿宋" w:cs="仿宋"/>
          <w:color w:val="auto"/>
          <w:szCs w:val="28"/>
          <w:highlight w:val="none"/>
        </w:rPr>
      </w:pPr>
    </w:p>
    <w:p w14:paraId="366516A5">
      <w:pPr>
        <w:pStyle w:val="29"/>
        <w:ind w:firstLine="560" w:firstLineChars="20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⑦外加剂</w:t>
      </w:r>
    </w:p>
    <w:p w14:paraId="5C68EC54">
      <w:pPr>
        <w:spacing w:line="500" w:lineRule="exact"/>
        <w:ind w:firstLine="560"/>
        <w:rPr>
          <w:rFonts w:hint="eastAsia" w:ascii="仿宋" w:hAnsi="仿宋" w:eastAsia="仿宋" w:cs="仿宋"/>
          <w:color w:val="auto"/>
          <w:szCs w:val="28"/>
          <w:highlight w:val="none"/>
        </w:rPr>
      </w:pPr>
      <w:r>
        <w:rPr>
          <w:rFonts w:ascii="仿宋" w:hAnsi="仿宋" w:eastAsia="仿宋" w:cs="仿宋"/>
          <w:color w:val="auto"/>
          <w:szCs w:val="28"/>
          <w:highlight w:val="none"/>
        </w:rPr>
        <w:t>由于施工场地位于城市中心区，人车交通量大，为缩短工期，减小施工对交通的影响，在水泥混凝土中掺入早强剂，以缩短混凝土养护时间。</w:t>
      </w:r>
    </w:p>
    <w:p w14:paraId="2C6B986A">
      <w:pPr>
        <w:ind w:firstLine="560"/>
        <w:jc w:val="center"/>
        <w:rPr>
          <w:rFonts w:hint="eastAsia" w:ascii="仿宋" w:hAnsi="仿宋" w:eastAsia="仿宋" w:cs="仿宋"/>
          <w:color w:val="auto"/>
          <w:szCs w:val="28"/>
          <w:highlight w:val="none"/>
        </w:rPr>
      </w:pPr>
      <w:r>
        <w:rPr>
          <w:rFonts w:ascii="仿宋" w:hAnsi="仿宋" w:eastAsia="仿宋" w:cs="仿宋"/>
          <w:color w:val="auto"/>
          <w:szCs w:val="28"/>
          <w:highlight w:val="none"/>
        </w:rPr>
        <w:t>早强剂技术性能指标</w:t>
      </w:r>
    </w:p>
    <w:tbl>
      <w:tblPr>
        <w:tblStyle w:val="23"/>
        <w:tblW w:w="9990" w:type="dxa"/>
        <w:jc w:val="center"/>
        <w:tblLayout w:type="fixed"/>
        <w:tblCellMar>
          <w:top w:w="0" w:type="dxa"/>
          <w:left w:w="108" w:type="dxa"/>
          <w:bottom w:w="0" w:type="dxa"/>
          <w:right w:w="108" w:type="dxa"/>
        </w:tblCellMar>
      </w:tblPr>
      <w:tblGrid>
        <w:gridCol w:w="1068"/>
        <w:gridCol w:w="1195"/>
        <w:gridCol w:w="1196"/>
        <w:gridCol w:w="636"/>
        <w:gridCol w:w="636"/>
        <w:gridCol w:w="636"/>
        <w:gridCol w:w="636"/>
        <w:gridCol w:w="1446"/>
        <w:gridCol w:w="974"/>
        <w:gridCol w:w="1567"/>
      </w:tblGrid>
      <w:tr w14:paraId="09D7B8A4">
        <w:tblPrEx>
          <w:tblCellMar>
            <w:top w:w="0" w:type="dxa"/>
            <w:left w:w="108" w:type="dxa"/>
            <w:bottom w:w="0" w:type="dxa"/>
            <w:right w:w="108" w:type="dxa"/>
          </w:tblCellMar>
        </w:tblPrEx>
        <w:trPr>
          <w:trHeight w:val="258" w:hRule="atLeast"/>
          <w:jc w:val="center"/>
        </w:trPr>
        <w:tc>
          <w:tcPr>
            <w:tcW w:w="1068"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27516CCF">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项目</w:t>
            </w:r>
          </w:p>
        </w:tc>
        <w:tc>
          <w:tcPr>
            <w:tcW w:w="11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31A55B">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泌水率比（%），≮</w:t>
            </w:r>
          </w:p>
        </w:tc>
        <w:tc>
          <w:tcPr>
            <w:tcW w:w="11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FDAD37">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凝结时间（min）</w:t>
            </w:r>
          </w:p>
        </w:tc>
        <w:tc>
          <w:tcPr>
            <w:tcW w:w="2544" w:type="dxa"/>
            <w:gridSpan w:val="4"/>
            <w:tcBorders>
              <w:top w:val="single" w:color="auto" w:sz="4" w:space="0"/>
              <w:left w:val="nil"/>
              <w:bottom w:val="single" w:color="auto" w:sz="4" w:space="0"/>
              <w:right w:val="single" w:color="auto" w:sz="4" w:space="0"/>
            </w:tcBorders>
            <w:shd w:val="clear" w:color="auto" w:fill="auto"/>
            <w:noWrap/>
            <w:vAlign w:val="center"/>
          </w:tcPr>
          <w:p w14:paraId="101EFD50">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抗压强度比（%）≮</w:t>
            </w:r>
          </w:p>
        </w:tc>
        <w:tc>
          <w:tcPr>
            <w:tcW w:w="14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AF4284">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收缩率比（%）28d,≮</w:t>
            </w:r>
          </w:p>
        </w:tc>
        <w:tc>
          <w:tcPr>
            <w:tcW w:w="97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F88DB7">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抗冻标号</w:t>
            </w:r>
          </w:p>
        </w:tc>
        <w:tc>
          <w:tcPr>
            <w:tcW w:w="15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389AEF">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对钢筋锈蚀作用</w:t>
            </w:r>
          </w:p>
        </w:tc>
      </w:tr>
      <w:tr w14:paraId="6469DD7E">
        <w:tblPrEx>
          <w:tblCellMar>
            <w:top w:w="0" w:type="dxa"/>
            <w:left w:w="108" w:type="dxa"/>
            <w:bottom w:w="0" w:type="dxa"/>
            <w:right w:w="108" w:type="dxa"/>
          </w:tblCellMar>
        </w:tblPrEx>
        <w:trPr>
          <w:trHeight w:val="258" w:hRule="atLeast"/>
          <w:jc w:val="center"/>
        </w:trPr>
        <w:tc>
          <w:tcPr>
            <w:tcW w:w="1068" w:type="dxa"/>
            <w:vMerge w:val="continue"/>
            <w:tcBorders>
              <w:top w:val="single" w:color="auto" w:sz="4" w:space="0"/>
              <w:left w:val="single" w:color="auto" w:sz="4" w:space="0"/>
              <w:bottom w:val="single" w:color="auto" w:sz="4" w:space="0"/>
              <w:right w:val="single" w:color="auto" w:sz="4" w:space="0"/>
            </w:tcBorders>
            <w:vAlign w:val="center"/>
          </w:tcPr>
          <w:p w14:paraId="520BD98D">
            <w:pPr>
              <w:ind w:firstLine="0" w:firstLineChars="0"/>
              <w:jc w:val="center"/>
              <w:rPr>
                <w:rFonts w:hint="eastAsia" w:ascii="仿宋" w:hAnsi="仿宋" w:eastAsia="仿宋" w:cs="仿宋"/>
                <w:color w:val="auto"/>
                <w:sz w:val="21"/>
                <w:szCs w:val="21"/>
                <w:highlight w:val="none"/>
              </w:rPr>
            </w:pPr>
          </w:p>
        </w:tc>
        <w:tc>
          <w:tcPr>
            <w:tcW w:w="1195" w:type="dxa"/>
            <w:vMerge w:val="continue"/>
            <w:tcBorders>
              <w:top w:val="single" w:color="auto" w:sz="4" w:space="0"/>
              <w:left w:val="single" w:color="auto" w:sz="4" w:space="0"/>
              <w:bottom w:val="single" w:color="auto" w:sz="4" w:space="0"/>
              <w:right w:val="single" w:color="auto" w:sz="4" w:space="0"/>
            </w:tcBorders>
            <w:vAlign w:val="center"/>
          </w:tcPr>
          <w:p w14:paraId="3F5B14AC">
            <w:pPr>
              <w:ind w:firstLine="0" w:firstLineChars="0"/>
              <w:jc w:val="center"/>
              <w:rPr>
                <w:rFonts w:hint="eastAsia" w:ascii="仿宋" w:hAnsi="仿宋" w:eastAsia="仿宋" w:cs="仿宋"/>
                <w:color w:val="auto"/>
                <w:sz w:val="21"/>
                <w:szCs w:val="21"/>
                <w:highlight w:val="none"/>
              </w:rPr>
            </w:pPr>
          </w:p>
        </w:tc>
        <w:tc>
          <w:tcPr>
            <w:tcW w:w="1196" w:type="dxa"/>
            <w:vMerge w:val="continue"/>
            <w:tcBorders>
              <w:top w:val="single" w:color="auto" w:sz="4" w:space="0"/>
              <w:left w:val="single" w:color="auto" w:sz="4" w:space="0"/>
              <w:bottom w:val="single" w:color="auto" w:sz="4" w:space="0"/>
              <w:right w:val="single" w:color="auto" w:sz="4" w:space="0"/>
            </w:tcBorders>
            <w:vAlign w:val="center"/>
          </w:tcPr>
          <w:p w14:paraId="7BC21783">
            <w:pPr>
              <w:ind w:firstLine="0" w:firstLineChars="0"/>
              <w:jc w:val="center"/>
              <w:rPr>
                <w:rFonts w:hint="eastAsia" w:ascii="仿宋" w:hAnsi="仿宋" w:eastAsia="仿宋" w:cs="仿宋"/>
                <w:color w:val="auto"/>
                <w:sz w:val="21"/>
                <w:szCs w:val="21"/>
                <w:highlight w:val="none"/>
              </w:rPr>
            </w:pPr>
          </w:p>
        </w:tc>
        <w:tc>
          <w:tcPr>
            <w:tcW w:w="636" w:type="dxa"/>
            <w:tcBorders>
              <w:top w:val="nil"/>
              <w:left w:val="nil"/>
              <w:bottom w:val="single" w:color="auto" w:sz="4" w:space="0"/>
              <w:right w:val="single" w:color="auto" w:sz="4" w:space="0"/>
            </w:tcBorders>
            <w:shd w:val="clear" w:color="auto" w:fill="auto"/>
            <w:noWrap/>
            <w:vAlign w:val="center"/>
          </w:tcPr>
          <w:p w14:paraId="4B1809E1">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1d</w:t>
            </w:r>
          </w:p>
        </w:tc>
        <w:tc>
          <w:tcPr>
            <w:tcW w:w="636" w:type="dxa"/>
            <w:tcBorders>
              <w:top w:val="nil"/>
              <w:left w:val="nil"/>
              <w:bottom w:val="single" w:color="auto" w:sz="4" w:space="0"/>
              <w:right w:val="single" w:color="auto" w:sz="4" w:space="0"/>
            </w:tcBorders>
            <w:shd w:val="clear" w:color="auto" w:fill="auto"/>
            <w:noWrap/>
            <w:vAlign w:val="center"/>
          </w:tcPr>
          <w:p w14:paraId="68141849">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3d</w:t>
            </w:r>
          </w:p>
        </w:tc>
        <w:tc>
          <w:tcPr>
            <w:tcW w:w="636" w:type="dxa"/>
            <w:tcBorders>
              <w:top w:val="nil"/>
              <w:left w:val="nil"/>
              <w:bottom w:val="single" w:color="auto" w:sz="4" w:space="0"/>
              <w:right w:val="single" w:color="auto" w:sz="4" w:space="0"/>
            </w:tcBorders>
            <w:shd w:val="clear" w:color="auto" w:fill="auto"/>
            <w:noWrap/>
            <w:vAlign w:val="center"/>
          </w:tcPr>
          <w:p w14:paraId="249FD605">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7d</w:t>
            </w:r>
          </w:p>
        </w:tc>
        <w:tc>
          <w:tcPr>
            <w:tcW w:w="636" w:type="dxa"/>
            <w:tcBorders>
              <w:top w:val="nil"/>
              <w:left w:val="nil"/>
              <w:bottom w:val="single" w:color="auto" w:sz="4" w:space="0"/>
              <w:right w:val="single" w:color="auto" w:sz="4" w:space="0"/>
            </w:tcBorders>
            <w:shd w:val="clear" w:color="auto" w:fill="auto"/>
            <w:noWrap/>
            <w:vAlign w:val="center"/>
          </w:tcPr>
          <w:p w14:paraId="254F406F">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28d</w:t>
            </w:r>
          </w:p>
        </w:tc>
        <w:tc>
          <w:tcPr>
            <w:tcW w:w="1446" w:type="dxa"/>
            <w:vMerge w:val="continue"/>
            <w:tcBorders>
              <w:top w:val="single" w:color="auto" w:sz="4" w:space="0"/>
              <w:left w:val="single" w:color="auto" w:sz="4" w:space="0"/>
              <w:bottom w:val="single" w:color="auto" w:sz="4" w:space="0"/>
              <w:right w:val="single" w:color="auto" w:sz="4" w:space="0"/>
            </w:tcBorders>
            <w:vAlign w:val="center"/>
          </w:tcPr>
          <w:p w14:paraId="468967D1">
            <w:pPr>
              <w:ind w:firstLine="0" w:firstLineChars="0"/>
              <w:jc w:val="center"/>
              <w:rPr>
                <w:rFonts w:hint="eastAsia" w:ascii="仿宋" w:hAnsi="仿宋" w:eastAsia="仿宋" w:cs="仿宋"/>
                <w:color w:val="auto"/>
                <w:sz w:val="21"/>
                <w:szCs w:val="21"/>
                <w:highlight w:val="none"/>
              </w:rPr>
            </w:pPr>
          </w:p>
        </w:tc>
        <w:tc>
          <w:tcPr>
            <w:tcW w:w="974" w:type="dxa"/>
            <w:vMerge w:val="continue"/>
            <w:tcBorders>
              <w:top w:val="single" w:color="auto" w:sz="4" w:space="0"/>
              <w:left w:val="single" w:color="auto" w:sz="4" w:space="0"/>
              <w:bottom w:val="single" w:color="auto" w:sz="4" w:space="0"/>
              <w:right w:val="single" w:color="auto" w:sz="4" w:space="0"/>
            </w:tcBorders>
            <w:vAlign w:val="center"/>
          </w:tcPr>
          <w:p w14:paraId="67740F32">
            <w:pPr>
              <w:ind w:firstLine="0" w:firstLineChars="0"/>
              <w:jc w:val="center"/>
              <w:rPr>
                <w:rFonts w:hint="eastAsia" w:ascii="仿宋" w:hAnsi="仿宋" w:eastAsia="仿宋" w:cs="仿宋"/>
                <w:color w:val="auto"/>
                <w:sz w:val="21"/>
                <w:szCs w:val="21"/>
                <w:highlight w:val="none"/>
              </w:rPr>
            </w:pPr>
          </w:p>
        </w:tc>
        <w:tc>
          <w:tcPr>
            <w:tcW w:w="1567" w:type="dxa"/>
            <w:vMerge w:val="continue"/>
            <w:tcBorders>
              <w:top w:val="single" w:color="auto" w:sz="4" w:space="0"/>
              <w:left w:val="single" w:color="auto" w:sz="4" w:space="0"/>
              <w:bottom w:val="single" w:color="auto" w:sz="4" w:space="0"/>
              <w:right w:val="single" w:color="auto" w:sz="4" w:space="0"/>
            </w:tcBorders>
            <w:vAlign w:val="center"/>
          </w:tcPr>
          <w:p w14:paraId="11F84144">
            <w:pPr>
              <w:ind w:firstLine="0" w:firstLineChars="0"/>
              <w:jc w:val="center"/>
              <w:rPr>
                <w:rFonts w:hint="eastAsia" w:ascii="仿宋" w:hAnsi="仿宋" w:eastAsia="仿宋" w:cs="仿宋"/>
                <w:color w:val="auto"/>
                <w:sz w:val="21"/>
                <w:szCs w:val="21"/>
                <w:highlight w:val="none"/>
              </w:rPr>
            </w:pPr>
          </w:p>
        </w:tc>
      </w:tr>
      <w:tr w14:paraId="0C9F9FC0">
        <w:tblPrEx>
          <w:tblCellMar>
            <w:top w:w="0" w:type="dxa"/>
            <w:left w:w="108" w:type="dxa"/>
            <w:bottom w:w="0" w:type="dxa"/>
            <w:right w:w="108" w:type="dxa"/>
          </w:tblCellMar>
        </w:tblPrEx>
        <w:trPr>
          <w:trHeight w:val="258" w:hRule="atLeast"/>
          <w:jc w:val="center"/>
        </w:trPr>
        <w:tc>
          <w:tcPr>
            <w:tcW w:w="1068" w:type="dxa"/>
            <w:tcBorders>
              <w:top w:val="nil"/>
              <w:left w:val="single" w:color="auto" w:sz="4" w:space="0"/>
              <w:bottom w:val="single" w:color="auto" w:sz="4" w:space="0"/>
              <w:right w:val="single" w:color="auto" w:sz="4" w:space="0"/>
            </w:tcBorders>
            <w:shd w:val="clear" w:color="auto" w:fill="auto"/>
            <w:noWrap/>
            <w:vAlign w:val="center"/>
          </w:tcPr>
          <w:p w14:paraId="32FD7F70">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早强剂</w:t>
            </w:r>
          </w:p>
        </w:tc>
        <w:tc>
          <w:tcPr>
            <w:tcW w:w="1195" w:type="dxa"/>
            <w:tcBorders>
              <w:top w:val="nil"/>
              <w:left w:val="nil"/>
              <w:bottom w:val="single" w:color="auto" w:sz="4" w:space="0"/>
              <w:right w:val="single" w:color="auto" w:sz="4" w:space="0"/>
            </w:tcBorders>
            <w:shd w:val="clear" w:color="auto" w:fill="auto"/>
            <w:noWrap/>
            <w:vAlign w:val="center"/>
          </w:tcPr>
          <w:p w14:paraId="54A4AD97">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100</w:t>
            </w:r>
          </w:p>
        </w:tc>
        <w:tc>
          <w:tcPr>
            <w:tcW w:w="1196" w:type="dxa"/>
            <w:tcBorders>
              <w:top w:val="nil"/>
              <w:left w:val="nil"/>
              <w:bottom w:val="single" w:color="auto" w:sz="4" w:space="0"/>
              <w:right w:val="single" w:color="auto" w:sz="4" w:space="0"/>
            </w:tcBorders>
            <w:shd w:val="clear" w:color="auto" w:fill="auto"/>
            <w:noWrap/>
            <w:vAlign w:val="center"/>
          </w:tcPr>
          <w:p w14:paraId="431871E2">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-90～+90</w:t>
            </w:r>
          </w:p>
        </w:tc>
        <w:tc>
          <w:tcPr>
            <w:tcW w:w="636" w:type="dxa"/>
            <w:tcBorders>
              <w:top w:val="nil"/>
              <w:left w:val="nil"/>
              <w:bottom w:val="single" w:color="auto" w:sz="4" w:space="0"/>
              <w:right w:val="single" w:color="auto" w:sz="4" w:space="0"/>
            </w:tcBorders>
            <w:shd w:val="clear" w:color="auto" w:fill="auto"/>
            <w:noWrap/>
            <w:vAlign w:val="center"/>
          </w:tcPr>
          <w:p w14:paraId="482F8459">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135</w:t>
            </w:r>
          </w:p>
        </w:tc>
        <w:tc>
          <w:tcPr>
            <w:tcW w:w="636" w:type="dxa"/>
            <w:tcBorders>
              <w:top w:val="nil"/>
              <w:left w:val="nil"/>
              <w:bottom w:val="single" w:color="auto" w:sz="4" w:space="0"/>
              <w:right w:val="single" w:color="auto" w:sz="4" w:space="0"/>
            </w:tcBorders>
            <w:shd w:val="clear" w:color="auto" w:fill="auto"/>
            <w:noWrap/>
            <w:vAlign w:val="center"/>
          </w:tcPr>
          <w:p w14:paraId="32993625">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130</w:t>
            </w:r>
          </w:p>
        </w:tc>
        <w:tc>
          <w:tcPr>
            <w:tcW w:w="636" w:type="dxa"/>
            <w:tcBorders>
              <w:top w:val="nil"/>
              <w:left w:val="nil"/>
              <w:bottom w:val="single" w:color="auto" w:sz="4" w:space="0"/>
              <w:right w:val="single" w:color="auto" w:sz="4" w:space="0"/>
            </w:tcBorders>
            <w:shd w:val="clear" w:color="auto" w:fill="auto"/>
            <w:noWrap/>
            <w:vAlign w:val="center"/>
          </w:tcPr>
          <w:p w14:paraId="6417A39C">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110</w:t>
            </w:r>
          </w:p>
        </w:tc>
        <w:tc>
          <w:tcPr>
            <w:tcW w:w="636" w:type="dxa"/>
            <w:tcBorders>
              <w:top w:val="nil"/>
              <w:left w:val="nil"/>
              <w:bottom w:val="single" w:color="auto" w:sz="4" w:space="0"/>
              <w:right w:val="single" w:color="auto" w:sz="4" w:space="0"/>
            </w:tcBorders>
            <w:shd w:val="clear" w:color="auto" w:fill="auto"/>
            <w:noWrap/>
            <w:vAlign w:val="center"/>
          </w:tcPr>
          <w:p w14:paraId="6B828BCB">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100</w:t>
            </w:r>
          </w:p>
        </w:tc>
        <w:tc>
          <w:tcPr>
            <w:tcW w:w="1446" w:type="dxa"/>
            <w:tcBorders>
              <w:top w:val="nil"/>
              <w:left w:val="nil"/>
              <w:bottom w:val="single" w:color="auto" w:sz="4" w:space="0"/>
              <w:right w:val="single" w:color="auto" w:sz="4" w:space="0"/>
            </w:tcBorders>
            <w:shd w:val="clear" w:color="auto" w:fill="auto"/>
            <w:noWrap/>
            <w:vAlign w:val="center"/>
          </w:tcPr>
          <w:p w14:paraId="21046C78">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120</w:t>
            </w:r>
          </w:p>
        </w:tc>
        <w:tc>
          <w:tcPr>
            <w:tcW w:w="974" w:type="dxa"/>
            <w:tcBorders>
              <w:top w:val="nil"/>
              <w:left w:val="nil"/>
              <w:bottom w:val="single" w:color="auto" w:sz="4" w:space="0"/>
              <w:right w:val="single" w:color="auto" w:sz="4" w:space="0"/>
            </w:tcBorders>
            <w:shd w:val="clear" w:color="auto" w:fill="auto"/>
            <w:noWrap/>
            <w:vAlign w:val="center"/>
          </w:tcPr>
          <w:p w14:paraId="2D8BEF55">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50</w:t>
            </w:r>
          </w:p>
        </w:tc>
        <w:tc>
          <w:tcPr>
            <w:tcW w:w="1567" w:type="dxa"/>
            <w:tcBorders>
              <w:top w:val="nil"/>
              <w:left w:val="nil"/>
              <w:bottom w:val="single" w:color="auto" w:sz="4" w:space="0"/>
              <w:right w:val="single" w:color="auto" w:sz="4" w:space="0"/>
            </w:tcBorders>
            <w:shd w:val="clear" w:color="auto" w:fill="auto"/>
            <w:noWrap/>
            <w:vAlign w:val="center"/>
          </w:tcPr>
          <w:p w14:paraId="427FD1B4">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应说明对钢筋无锈蚀危害</w:t>
            </w:r>
          </w:p>
        </w:tc>
      </w:tr>
    </w:tbl>
    <w:p w14:paraId="202E4C68">
      <w:pPr>
        <w:pStyle w:val="29"/>
        <w:ind w:firstLine="560" w:firstLineChars="200"/>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（3）纵、横缝</w:t>
      </w:r>
    </w:p>
    <w:p w14:paraId="2F7F0940">
      <w:pPr>
        <w:spacing w:line="500" w:lineRule="exact"/>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水泥混凝土底基层和基层需设置对应的纵缝、横缝，并灌入填缝料，填缝材料不得开裂、挤出或缺失：</w:t>
      </w:r>
    </w:p>
    <w:p w14:paraId="1AEA7BCF">
      <w:pPr>
        <w:spacing w:line="500" w:lineRule="exact"/>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纵向接缝：①一次铺筑宽度小于路面宽度时，应设置纵向施工缝，纵向施工缝采用平缝形式；②一次铺筑宽度大于4.5时，应设置纵向缩缝，纵向缩缝采用假缝形式。</w:t>
      </w:r>
    </w:p>
    <w:p w14:paraId="38EA0A31">
      <w:pPr>
        <w:spacing w:line="500" w:lineRule="exact"/>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横向接缝：①每天施工结束或摊铺中断时间超过30min时，必须设置横向施工缝，其位置应尽可能选在缩缝或胀缝处，设在缩缝处的施工缝，采用加传力杆的平缝形式，设在胀缝处的施工缝，其构造与胀缝相同；②横向缩缝可等间距或变间距布置，采用假缝形式；③与其它道路相交时应设置横向胀缝。</w:t>
      </w:r>
    </w:p>
    <w:p w14:paraId="2E1F3754">
      <w:pPr>
        <w:spacing w:line="500" w:lineRule="exact"/>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水泥混凝土面层缩缝应使用切缝机按设计位置、深度、形状切割而成。</w:t>
      </w:r>
    </w:p>
    <w:p w14:paraId="35E75172">
      <w:pPr>
        <w:spacing w:line="500" w:lineRule="exact"/>
        <w:ind w:firstLine="560"/>
        <w:rPr>
          <w:rFonts w:hint="eastAsia" w:ascii="仿宋" w:hAnsi="仿宋" w:eastAsia="仿宋" w:cs="仿宋"/>
          <w:color w:val="auto"/>
          <w:kern w:val="2"/>
          <w:sz w:val="28"/>
          <w:szCs w:val="28"/>
          <w:highlight w:val="none"/>
        </w:rPr>
      </w:pPr>
      <w:r>
        <w:rPr>
          <w:rFonts w:hint="eastAsia" w:ascii="仿宋" w:hAnsi="仿宋" w:eastAsia="仿宋" w:cs="仿宋"/>
          <w:color w:val="auto"/>
          <w:szCs w:val="28"/>
          <w:highlight w:val="none"/>
        </w:rPr>
        <w:t>常温施工式填缝料的养生期，低温期宜为24h，高温期宜为10h。加热施工缝料的养生期，低温期宜为2h，高温期宜为6h，在灌缝料固化期间应封闭交通。</w:t>
      </w:r>
    </w:p>
    <w:p w14:paraId="2EEB4452">
      <w:pPr>
        <w:adjustRightInd w:val="0"/>
        <w:ind w:firstLine="562"/>
        <w:contextualSpacing/>
        <w:outlineLvl w:val="2"/>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lang w:val="en-US" w:eastAsia="zh-CN"/>
        </w:rPr>
        <w:t>8.10</w:t>
      </w:r>
      <w:r>
        <w:rPr>
          <w:rFonts w:hint="eastAsia" w:ascii="仿宋" w:hAnsi="仿宋" w:eastAsia="仿宋" w:cs="仿宋"/>
          <w:b/>
          <w:bCs/>
          <w:color w:val="auto"/>
          <w:szCs w:val="28"/>
          <w:highlight w:val="none"/>
        </w:rPr>
        <w:t>.</w:t>
      </w:r>
      <w:r>
        <w:rPr>
          <w:rFonts w:hint="eastAsia" w:ascii="仿宋" w:hAnsi="仿宋" w:eastAsia="仿宋" w:cs="仿宋"/>
          <w:b/>
          <w:bCs/>
          <w:color w:val="auto"/>
          <w:szCs w:val="28"/>
          <w:highlight w:val="none"/>
          <w:lang w:val="en-US" w:eastAsia="zh-CN"/>
        </w:rPr>
        <w:t>3</w:t>
      </w:r>
      <w:r>
        <w:rPr>
          <w:rFonts w:hint="eastAsia" w:ascii="仿宋" w:hAnsi="仿宋" w:eastAsia="仿宋" w:cs="仿宋"/>
          <w:b/>
          <w:bCs/>
          <w:color w:val="auto"/>
          <w:szCs w:val="28"/>
          <w:highlight w:val="none"/>
        </w:rPr>
        <w:t>附属工程</w:t>
      </w:r>
    </w:p>
    <w:p w14:paraId="6A40491B">
      <w:pPr>
        <w:pStyle w:val="29"/>
        <w:numPr>
          <w:ilvl w:val="0"/>
          <w:numId w:val="6"/>
        </w:numPr>
        <w:ind w:firstLine="560" w:firstLineChars="200"/>
        <w:rPr>
          <w:rFonts w:ascii="仿宋" w:hAnsi="仿宋" w:eastAsia="仿宋" w:cs="仿宋"/>
          <w:color w:val="auto"/>
          <w:kern w:val="2"/>
          <w:sz w:val="28"/>
          <w:szCs w:val="28"/>
          <w:highlight w:val="none"/>
        </w:rPr>
      </w:pPr>
      <w:r>
        <w:rPr>
          <w:rFonts w:ascii="仿宋" w:hAnsi="仿宋" w:eastAsia="仿宋" w:cs="仿宋"/>
          <w:color w:val="auto"/>
          <w:kern w:val="2"/>
          <w:sz w:val="28"/>
          <w:szCs w:val="28"/>
          <w:highlight w:val="none"/>
        </w:rPr>
        <w:t>缘石、路边石</w:t>
      </w:r>
    </w:p>
    <w:p w14:paraId="719289ED">
      <w:pPr>
        <w:spacing w:line="500" w:lineRule="exact"/>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路缘石、路边石采用C30混凝土预制，由于需要与现状保持一致，但目前未掌握需恢复的路缘石、路边石尺寸，设计暂按下列尺寸考虑，现场施工过程中如需采用其他材质或尺寸不符应及时同时监理及甲方，最终确定路缘石相关参数。</w:t>
      </w:r>
    </w:p>
    <w:p w14:paraId="5C90392C">
      <w:pPr>
        <w:ind w:firstLine="560"/>
        <w:jc w:val="center"/>
        <w:rPr>
          <w:rFonts w:hint="eastAsia" w:ascii="仿宋" w:hAnsi="仿宋" w:eastAsia="仿宋" w:cs="仿宋"/>
          <w:color w:val="auto"/>
          <w:szCs w:val="28"/>
          <w:highlight w:val="none"/>
        </w:rPr>
      </w:pPr>
      <w:r>
        <w:rPr>
          <w:rFonts w:ascii="仿宋" w:hAnsi="仿宋" w:eastAsia="仿宋" w:cs="仿宋"/>
          <w:color w:val="auto"/>
          <w:szCs w:val="28"/>
          <w:highlight w:val="none"/>
        </w:rPr>
        <w:t>缘石安砌允许偏差</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5"/>
        <w:gridCol w:w="2656"/>
        <w:gridCol w:w="1829"/>
        <w:gridCol w:w="1002"/>
        <w:gridCol w:w="2987"/>
      </w:tblGrid>
      <w:tr w14:paraId="7D4E7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vAlign w:val="center"/>
          </w:tcPr>
          <w:p w14:paraId="3BB5DA3D">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项目</w:t>
            </w:r>
          </w:p>
        </w:tc>
        <w:tc>
          <w:tcPr>
            <w:tcW w:w="0" w:type="auto"/>
            <w:vMerge w:val="restart"/>
            <w:vAlign w:val="center"/>
          </w:tcPr>
          <w:p w14:paraId="011104A0">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允许偏差（mm）</w:t>
            </w:r>
          </w:p>
        </w:tc>
        <w:tc>
          <w:tcPr>
            <w:tcW w:w="0" w:type="auto"/>
            <w:gridSpan w:val="2"/>
            <w:vAlign w:val="center"/>
          </w:tcPr>
          <w:p w14:paraId="45C2A6A5">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检验频率</w:t>
            </w:r>
          </w:p>
        </w:tc>
        <w:tc>
          <w:tcPr>
            <w:tcW w:w="0" w:type="auto"/>
            <w:vMerge w:val="restart"/>
            <w:vAlign w:val="center"/>
          </w:tcPr>
          <w:p w14:paraId="7A19E778">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检验方法</w:t>
            </w:r>
          </w:p>
        </w:tc>
      </w:tr>
      <w:tr w14:paraId="6456D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0F375D0E">
            <w:pPr>
              <w:ind w:firstLine="0" w:firstLineChars="0"/>
              <w:jc w:val="center"/>
              <w:rPr>
                <w:rFonts w:hint="eastAsia" w:ascii="仿宋" w:hAnsi="仿宋" w:eastAsia="仿宋" w:cs="仿宋"/>
                <w:color w:val="auto"/>
                <w:sz w:val="21"/>
                <w:szCs w:val="21"/>
                <w:highlight w:val="none"/>
              </w:rPr>
            </w:pPr>
          </w:p>
        </w:tc>
        <w:tc>
          <w:tcPr>
            <w:tcW w:w="0" w:type="auto"/>
            <w:vMerge w:val="continue"/>
            <w:vAlign w:val="center"/>
          </w:tcPr>
          <w:p w14:paraId="0DB8DD08">
            <w:pPr>
              <w:ind w:firstLine="0" w:firstLineChars="0"/>
              <w:jc w:val="center"/>
              <w:rPr>
                <w:rFonts w:hint="eastAsia" w:ascii="仿宋" w:hAnsi="仿宋" w:eastAsia="仿宋" w:cs="仿宋"/>
                <w:color w:val="auto"/>
                <w:sz w:val="21"/>
                <w:szCs w:val="21"/>
                <w:highlight w:val="none"/>
              </w:rPr>
            </w:pPr>
          </w:p>
        </w:tc>
        <w:tc>
          <w:tcPr>
            <w:tcW w:w="0" w:type="auto"/>
            <w:vAlign w:val="center"/>
          </w:tcPr>
          <w:p w14:paraId="0B888D9A">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范围（m）</w:t>
            </w:r>
          </w:p>
        </w:tc>
        <w:tc>
          <w:tcPr>
            <w:tcW w:w="0" w:type="auto"/>
            <w:vAlign w:val="center"/>
          </w:tcPr>
          <w:p w14:paraId="680365CB">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点数</w:t>
            </w:r>
          </w:p>
        </w:tc>
        <w:tc>
          <w:tcPr>
            <w:tcW w:w="0" w:type="auto"/>
            <w:vMerge w:val="continue"/>
            <w:vAlign w:val="center"/>
          </w:tcPr>
          <w:p w14:paraId="4A47130F">
            <w:pPr>
              <w:ind w:firstLine="0" w:firstLineChars="0"/>
              <w:jc w:val="center"/>
              <w:rPr>
                <w:rFonts w:hint="eastAsia" w:ascii="仿宋" w:hAnsi="仿宋" w:eastAsia="仿宋" w:cs="仿宋"/>
                <w:color w:val="auto"/>
                <w:sz w:val="21"/>
                <w:szCs w:val="21"/>
                <w:highlight w:val="none"/>
              </w:rPr>
            </w:pPr>
          </w:p>
        </w:tc>
      </w:tr>
      <w:tr w14:paraId="5EA9E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3CD71EC7">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直顺度</w:t>
            </w:r>
          </w:p>
        </w:tc>
        <w:tc>
          <w:tcPr>
            <w:tcW w:w="0" w:type="auto"/>
            <w:vAlign w:val="center"/>
          </w:tcPr>
          <w:p w14:paraId="5055CF29">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≤10</w:t>
            </w:r>
          </w:p>
        </w:tc>
        <w:tc>
          <w:tcPr>
            <w:tcW w:w="0" w:type="auto"/>
            <w:vAlign w:val="center"/>
          </w:tcPr>
          <w:p w14:paraId="13F48BF4">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100</w:t>
            </w:r>
          </w:p>
        </w:tc>
        <w:tc>
          <w:tcPr>
            <w:tcW w:w="0" w:type="auto"/>
            <w:vAlign w:val="center"/>
          </w:tcPr>
          <w:p w14:paraId="63DEA667">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1</w:t>
            </w:r>
          </w:p>
        </w:tc>
        <w:tc>
          <w:tcPr>
            <w:tcW w:w="0" w:type="auto"/>
            <w:vAlign w:val="center"/>
          </w:tcPr>
          <w:p w14:paraId="032E0442">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用20m线和钢尺量</w:t>
            </w:r>
          </w:p>
        </w:tc>
      </w:tr>
      <w:tr w14:paraId="4A8C5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0BFE21D6">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相邻块高差</w:t>
            </w:r>
          </w:p>
        </w:tc>
        <w:tc>
          <w:tcPr>
            <w:tcW w:w="0" w:type="auto"/>
            <w:vAlign w:val="center"/>
          </w:tcPr>
          <w:p w14:paraId="17999487">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≤3</w:t>
            </w:r>
          </w:p>
        </w:tc>
        <w:tc>
          <w:tcPr>
            <w:tcW w:w="0" w:type="auto"/>
            <w:vAlign w:val="center"/>
          </w:tcPr>
          <w:p w14:paraId="3E3BAC1E">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20</w:t>
            </w:r>
          </w:p>
        </w:tc>
        <w:tc>
          <w:tcPr>
            <w:tcW w:w="0" w:type="auto"/>
            <w:vAlign w:val="center"/>
          </w:tcPr>
          <w:p w14:paraId="05545BE7">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1</w:t>
            </w:r>
          </w:p>
        </w:tc>
        <w:tc>
          <w:tcPr>
            <w:tcW w:w="0" w:type="auto"/>
            <w:vAlign w:val="center"/>
          </w:tcPr>
          <w:p w14:paraId="655B86BD">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用钢板尺和塞尺量</w:t>
            </w:r>
          </w:p>
        </w:tc>
      </w:tr>
      <w:tr w14:paraId="7FE20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45D22AFA">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缝宽</w:t>
            </w:r>
          </w:p>
        </w:tc>
        <w:tc>
          <w:tcPr>
            <w:tcW w:w="0" w:type="auto"/>
            <w:vAlign w:val="center"/>
          </w:tcPr>
          <w:p w14:paraId="69C10FFA">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±3</w:t>
            </w:r>
          </w:p>
        </w:tc>
        <w:tc>
          <w:tcPr>
            <w:tcW w:w="0" w:type="auto"/>
            <w:vAlign w:val="center"/>
          </w:tcPr>
          <w:p w14:paraId="04AFFAF3">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20</w:t>
            </w:r>
          </w:p>
        </w:tc>
        <w:tc>
          <w:tcPr>
            <w:tcW w:w="0" w:type="auto"/>
            <w:vAlign w:val="center"/>
          </w:tcPr>
          <w:p w14:paraId="5B45DA8B">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1</w:t>
            </w:r>
          </w:p>
        </w:tc>
        <w:tc>
          <w:tcPr>
            <w:tcW w:w="0" w:type="auto"/>
            <w:vAlign w:val="center"/>
          </w:tcPr>
          <w:p w14:paraId="7A3684E0">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用钢尺量</w:t>
            </w:r>
          </w:p>
        </w:tc>
      </w:tr>
      <w:tr w14:paraId="043B5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725B77F4">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顶面高程</w:t>
            </w:r>
          </w:p>
        </w:tc>
        <w:tc>
          <w:tcPr>
            <w:tcW w:w="0" w:type="auto"/>
            <w:vAlign w:val="center"/>
          </w:tcPr>
          <w:p w14:paraId="570F07A2">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±10</w:t>
            </w:r>
          </w:p>
        </w:tc>
        <w:tc>
          <w:tcPr>
            <w:tcW w:w="0" w:type="auto"/>
            <w:vAlign w:val="center"/>
          </w:tcPr>
          <w:p w14:paraId="44C6FE94">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20</w:t>
            </w:r>
          </w:p>
        </w:tc>
        <w:tc>
          <w:tcPr>
            <w:tcW w:w="0" w:type="auto"/>
            <w:vAlign w:val="center"/>
          </w:tcPr>
          <w:p w14:paraId="63839320">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1</w:t>
            </w:r>
          </w:p>
        </w:tc>
        <w:tc>
          <w:tcPr>
            <w:tcW w:w="0" w:type="auto"/>
            <w:vAlign w:val="center"/>
          </w:tcPr>
          <w:p w14:paraId="4310BE12">
            <w:pPr>
              <w:ind w:firstLine="0" w:firstLineChars="0"/>
              <w:jc w:val="center"/>
              <w:rPr>
                <w:rFonts w:hint="eastAsia" w:ascii="仿宋" w:hAnsi="仿宋" w:eastAsia="仿宋" w:cs="仿宋"/>
                <w:color w:val="auto"/>
                <w:sz w:val="21"/>
                <w:szCs w:val="21"/>
                <w:highlight w:val="none"/>
              </w:rPr>
            </w:pPr>
            <w:r>
              <w:rPr>
                <w:rFonts w:ascii="仿宋" w:hAnsi="仿宋" w:eastAsia="仿宋" w:cs="仿宋"/>
                <w:color w:val="auto"/>
                <w:sz w:val="21"/>
                <w:szCs w:val="21"/>
                <w:highlight w:val="none"/>
              </w:rPr>
              <w:t>用水准仪测量</w:t>
            </w:r>
          </w:p>
        </w:tc>
      </w:tr>
    </w:tbl>
    <w:p w14:paraId="5FF9F274">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lang w:val="en-US" w:eastAsia="zh-CN"/>
        </w:rPr>
        <w:t>8</w:t>
      </w:r>
      <w:r>
        <w:rPr>
          <w:rFonts w:hint="eastAsia" w:ascii="仿宋" w:hAnsi="仿宋" w:eastAsia="仿宋" w:cs="仿宋"/>
          <w:b/>
          <w:color w:val="auto"/>
          <w:szCs w:val="28"/>
          <w:highlight w:val="none"/>
        </w:rPr>
        <w:t>.</w:t>
      </w:r>
      <w:r>
        <w:rPr>
          <w:rFonts w:hint="eastAsia" w:ascii="仿宋" w:hAnsi="仿宋" w:eastAsia="仿宋" w:cs="仿宋"/>
          <w:b/>
          <w:color w:val="auto"/>
          <w:szCs w:val="28"/>
          <w:highlight w:val="none"/>
          <w:lang w:val="en-US" w:eastAsia="zh-CN"/>
        </w:rPr>
        <w:t>11</w:t>
      </w:r>
      <w:r>
        <w:rPr>
          <w:rFonts w:hint="eastAsia" w:ascii="仿宋" w:hAnsi="仿宋" w:eastAsia="仿宋" w:cs="仿宋"/>
          <w:b/>
          <w:color w:val="auto"/>
          <w:szCs w:val="28"/>
          <w:highlight w:val="none"/>
        </w:rPr>
        <w:t>交通安全设施</w:t>
      </w:r>
    </w:p>
    <w:p w14:paraId="6834F2C1">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lang w:val="en-US" w:eastAsia="zh-CN"/>
        </w:rPr>
        <w:t>8</w:t>
      </w:r>
      <w:r>
        <w:rPr>
          <w:rFonts w:hint="eastAsia" w:ascii="仿宋" w:hAnsi="仿宋" w:eastAsia="仿宋" w:cs="仿宋"/>
          <w:b/>
          <w:color w:val="auto"/>
          <w:szCs w:val="28"/>
          <w:highlight w:val="none"/>
        </w:rPr>
        <w:t>.</w:t>
      </w:r>
      <w:r>
        <w:rPr>
          <w:rFonts w:hint="eastAsia" w:ascii="仿宋" w:hAnsi="仿宋" w:eastAsia="仿宋" w:cs="仿宋"/>
          <w:b/>
          <w:color w:val="auto"/>
          <w:szCs w:val="28"/>
          <w:highlight w:val="none"/>
          <w:lang w:val="en-US" w:eastAsia="zh-CN"/>
        </w:rPr>
        <w:t>11.1</w:t>
      </w:r>
      <w:r>
        <w:rPr>
          <w:rFonts w:hint="eastAsia" w:ascii="仿宋" w:hAnsi="仿宋" w:eastAsia="仿宋" w:cs="仿宋"/>
          <w:b/>
          <w:color w:val="auto"/>
          <w:szCs w:val="28"/>
          <w:highlight w:val="none"/>
        </w:rPr>
        <w:t>交通标志</w:t>
      </w:r>
    </w:p>
    <w:p w14:paraId="78626D34">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（1）版面设计</w:t>
      </w:r>
    </w:p>
    <w:p w14:paraId="1DE73243">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标志根据其版面内容的不同，分为警告、禁令、指示、指路等几种。交通标志版面设计主要以《道路交通标志和标线》（GB5768－2009）为依据。以下几点须注意：</w:t>
      </w:r>
    </w:p>
    <w:p w14:paraId="32651897">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交通标志的形状、图案、尺寸、设置、构造、反光和照明以及制作，必须按《道路交通标志和标线》（GB 5768－2009）规定执行。外形尺寸允许偏差为5mm。</w:t>
      </w:r>
    </w:p>
    <w:p w14:paraId="0684A73D">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交通标志的文字书写规范、正确、工整。根据需要，可并用汉字和其它文字。当标志上采用中英两种文字时，地名用汉语拼音，专用名词用英文。设计图中的指路标志为中文标准版面，在版面制作过程中，根据设置英文的需要，修改版面尺寸。</w:t>
      </w:r>
    </w:p>
    <w:p w14:paraId="08FA78E0">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采用铝合金板，符合GB/T 23827-2009《道路交通标志板及支撑件》要求。指路标志厚度2.0mm；警告、禁令、指示标志板厚度1.5mm。</w:t>
      </w:r>
    </w:p>
    <w:p w14:paraId="2A581E47">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交通标志反光材料采用微棱镜超强级反光膜。</w:t>
      </w:r>
    </w:p>
    <w:p w14:paraId="76512C04">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交通标志的边框外缘应有衬底色，规定为：警告标志黄色，警令标志白色，指示标志蓝色，高速路、城市快速路的指路标志绿色，其他道路的指路标志蓝色。</w:t>
      </w:r>
    </w:p>
    <w:p w14:paraId="2120C79A">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p>
    <w:p w14:paraId="454AA914">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本次设计有以下标志牌：</w:t>
      </w:r>
    </w:p>
    <w:p w14:paraId="6FF267B3">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①在茶南大道辅道灯杆上设置附着式交叉口警告标志：版面尺寸为△900mm。</w:t>
      </w:r>
    </w:p>
    <w:p w14:paraId="656B957E">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②在道路合适位置设置限速、限重标志：版面尺寸为Φ600mm。</w:t>
      </w:r>
    </w:p>
    <w:p w14:paraId="5F520D9B">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③在急弯路段设置急弯标志：版面尺寸为△700mm。</w:t>
      </w:r>
    </w:p>
    <w:p w14:paraId="1FBD4C3B">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④在终点便道接入茶南大道辅道位置设置右转+让行组合标志：：版面尺寸为△700mm+Φ600mm。</w:t>
      </w:r>
    </w:p>
    <w:p w14:paraId="0BA39752">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（2）标志设置</w:t>
      </w:r>
    </w:p>
    <w:p w14:paraId="3D3700EA">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标志设置在施工过程中须注意以下几点：</w:t>
      </w:r>
    </w:p>
    <w:p w14:paraId="747B7E29">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在满足规定的前置距离的情况下，不允许损坏道路结构和妨碍交通安全；不应紧靠在建筑物的门前、窗前、及车辆出入口前；与建筑物保持1m以上的侧向距离。</w:t>
      </w:r>
    </w:p>
    <w:p w14:paraId="09C88759">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应满足视认要求，避免上跨桥、照明设施、门架、监控设施、电杆、行道树、绿篱及路上构造物等对标志板面的遮挡。</w:t>
      </w:r>
    </w:p>
    <w:p w14:paraId="364850BD">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不应遮挡其他交通设施。</w:t>
      </w:r>
    </w:p>
    <w:p w14:paraId="6C5D1B55">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标志的版面应面向来车方向，并应尽量减少对驾驶员的眩光。设置路侧式标志时，可与道路中心线的垂直线成一定的角度，指路标志和警告标志为0度～10度，禁令标志和指示标志为0度～45度，道路上方的标志应与道路中心线垂直并与道路垂直线成0度～10度的俯角。</w:t>
      </w:r>
    </w:p>
    <w:p w14:paraId="592A0BE1">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标志立柱应保持垂直，其倾斜度不应大于立柱高度的0.5％，且不允许向车行道一侧倾斜。</w:t>
      </w:r>
    </w:p>
    <w:p w14:paraId="561C6200">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标志板在一根标杆上并设时，应按警告、禁令、指示的顺序，先上后下，先左后右排列，同类标志的设置顺序，应按提示信息的危险程度先重后轻排列。停车让行标志、减速让行标志宜单独设置。</w:t>
      </w:r>
    </w:p>
    <w:p w14:paraId="4F0F41F5">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标志安装在单柱、双柱或悬臂式标杆立柱上时，安装高度为200cm～250cm，但安装在隔离带、绿化带等非行人通行的地点时，安装高度不低于100cm。标志板外缘距路面侧石线不应小于25cm。标志板安装在悬臂上，考虑到通行净空和路面维修增高的因素，安装高度控制在550cm。对于附着式标志同样应当符合200cm～250cm和侧向净空不小于25cm的要求。</w:t>
      </w:r>
    </w:p>
    <w:p w14:paraId="223ECC48">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（3）标志结构</w:t>
      </w:r>
    </w:p>
    <w:p w14:paraId="4891EF09">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道路交通标志由标志板、支柱、基础、紧固件和反光材料等组成。标志底板、支柱等所使用的材料，应尽量选用强度高、耐久性好的材料。</w:t>
      </w:r>
    </w:p>
    <w:p w14:paraId="497CFE7F">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1)标志板结构及材料</w:t>
      </w:r>
    </w:p>
    <w:p w14:paraId="7F1ACD3F">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标志板由标志面和标志底板组成。</w:t>
      </w:r>
    </w:p>
    <w:p w14:paraId="119CC999">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标志面可用逆反射材料、涂料和保护层制作。标志面上的图案、文字、外边框、衬底色等信息部分应采用逆反射材料、油墨或其它涂料等，在标志面的最外层可涂保护层如透明涂料等。</w:t>
      </w:r>
    </w:p>
    <w:p w14:paraId="5B9B1EDE">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标志底板边缘可进行卷边加固，卷边形式可参考GB5768附录形式，标志底板应采用型钢加固，加固方式可按GB5768附录选择。</w:t>
      </w:r>
    </w:p>
    <w:p w14:paraId="22B0C7AC">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大型标志的板面结构，宜采用挤压成型的铝合金板。挤压板材应尽量试用最大尺寸，减少接缝，已保持板面的平整度。</w:t>
      </w:r>
    </w:p>
    <w:p w14:paraId="366F5A6E">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同一标志板，标志底板和标志面所采用的各种材料应具有相容性，防止电化作用，不同的热膨胀系数或其他化学反应等造成标志板的锈蚀或损坏。</w:t>
      </w:r>
    </w:p>
    <w:p w14:paraId="7AF3EEC3">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标志底板可用铝合金板、薄钢板、合成树脂类板材等制造，当板材拼接时需用固件连接。标志面可用逆反射材料、油漆、油墨、胶粘剂、透明涂料及边缘填缝材料等材料制造。</w:t>
      </w:r>
    </w:p>
    <w:p w14:paraId="044AD071">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2)标志立柱</w:t>
      </w:r>
    </w:p>
    <w:p w14:paraId="10982D77">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标志结构的设计基本风速为25.9m/s。</w:t>
      </w:r>
    </w:p>
    <w:p w14:paraId="1F808E19">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标志立柱与横梁大小的选择依据国标关于结构设计的要求进行计算设计，对应不同板面大小的交通标志牌采用不同的支撑机构，本次设计采用（单柱式）89钢管；</w:t>
      </w:r>
    </w:p>
    <w:p w14:paraId="391086C4">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对于某些单独指示标志牌在规范条件允许的情况下选择附着在立柱或路灯灯杆上。</w:t>
      </w:r>
    </w:p>
    <w:p w14:paraId="2FC72D9F">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交通标志立柱选用钢管制作，所有钢构件必须采用热浸锌作防腐处理后漆象牙外观漆。</w:t>
      </w:r>
    </w:p>
    <w:p w14:paraId="1B25BD30">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标志支撑件的基础设计中采用双层或单层刚性扩大基础，基础的金属预埋件必须进行防锈处理，水泥混凝土的强度等级应为C25。标志板和支撑件的连接部件根据板面大小，选择适当的连接方式、连接方式可参照GB5768－2009附录的有关提示。施工中，标志板和支撑件的连接可采用不锈钢万能夹。它由不锈钢扎带、扎扣和夹座三部份组成，其中扎带和扎扣选用SS201（AISI52mm牌号），夹座SS304（AISI牌号）。扎带的边缘应平滑，以防损坏支撑件的镀层。</w:t>
      </w:r>
    </w:p>
    <w:p w14:paraId="6E40AEC4">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扎带的技术标准如下：宽（mm）：19±3％,厚（mm）：0.76±2％，最低屈服强度6KN，最低断裂强度10KN，伸长率40％，线膨胀系数（在0～100\U+2103）：15.7×10×c。</w:t>
      </w:r>
    </w:p>
    <w:p w14:paraId="12993B37">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标志的包装、运输及贮存应符合JT/T279的有关规定。</w:t>
      </w:r>
    </w:p>
    <w:p w14:paraId="62F728AE">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在连接部件时，应考虑安装方便、连接紧固、板面平整。各种标志立柱的埋设深度，决定于板面承载力的大小及地基承载力，一般应浇注混凝土基础，立柱的金属预埋件应进行防腐处理。</w:t>
      </w:r>
    </w:p>
    <w:p w14:paraId="12CFEC72">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路段标志的照明选用外部照明（隧道内部除外），确保夜间具有150m的视认距离。外部照明光源不能造成眩目。</w:t>
      </w:r>
    </w:p>
    <w:p w14:paraId="54A8584A">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p>
    <w:p w14:paraId="3ED26DC2">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p>
    <w:p w14:paraId="2178B9A3">
      <w:pPr>
        <w:adjustRightInd w:val="0"/>
        <w:snapToGrid w:val="0"/>
        <w:ind w:firstLine="562"/>
        <w:outlineLvl w:val="1"/>
        <w:rPr>
          <w:rFonts w:hint="eastAsia" w:ascii="仿宋" w:hAnsi="仿宋" w:eastAsia="仿宋" w:cs="仿宋"/>
          <w:b/>
          <w:color w:val="auto"/>
          <w:szCs w:val="28"/>
          <w:highlight w:val="none"/>
          <w:lang w:eastAsia="zh-CN"/>
        </w:rPr>
      </w:pPr>
      <w:r>
        <w:rPr>
          <w:rFonts w:hint="eastAsia" w:ascii="仿宋" w:hAnsi="仿宋" w:eastAsia="仿宋" w:cs="仿宋"/>
          <w:b/>
          <w:color w:val="auto"/>
          <w:szCs w:val="28"/>
          <w:highlight w:val="none"/>
          <w:lang w:val="en-US" w:eastAsia="zh-CN"/>
        </w:rPr>
        <w:t>8</w:t>
      </w:r>
      <w:r>
        <w:rPr>
          <w:rFonts w:hint="eastAsia" w:ascii="仿宋" w:hAnsi="仿宋" w:eastAsia="仿宋" w:cs="仿宋"/>
          <w:b/>
          <w:color w:val="auto"/>
          <w:szCs w:val="28"/>
          <w:highlight w:val="none"/>
        </w:rPr>
        <w:t>.</w:t>
      </w:r>
      <w:r>
        <w:rPr>
          <w:rFonts w:hint="eastAsia" w:ascii="仿宋" w:hAnsi="仿宋" w:eastAsia="仿宋" w:cs="仿宋"/>
          <w:b/>
          <w:color w:val="auto"/>
          <w:szCs w:val="28"/>
          <w:highlight w:val="none"/>
          <w:lang w:val="en-US" w:eastAsia="zh-CN"/>
        </w:rPr>
        <w:t>11.2</w:t>
      </w:r>
      <w:r>
        <w:rPr>
          <w:rFonts w:hint="eastAsia" w:ascii="仿宋" w:hAnsi="仿宋" w:eastAsia="仿宋" w:cs="仿宋"/>
          <w:b/>
          <w:color w:val="auto"/>
          <w:szCs w:val="28"/>
          <w:highlight w:val="none"/>
        </w:rPr>
        <w:t>交通</w:t>
      </w:r>
      <w:r>
        <w:rPr>
          <w:rFonts w:hint="eastAsia" w:ascii="仿宋" w:hAnsi="仿宋" w:eastAsia="仿宋" w:cs="仿宋"/>
          <w:b/>
          <w:color w:val="auto"/>
          <w:szCs w:val="28"/>
          <w:highlight w:val="none"/>
          <w:lang w:eastAsia="zh-CN"/>
        </w:rPr>
        <w:t>标线</w:t>
      </w:r>
    </w:p>
    <w:p w14:paraId="7108FBB0">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（1）标线设置</w:t>
      </w:r>
    </w:p>
    <w:p w14:paraId="323466F9">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本工程交通标线主要按现状进行恢复。主要包含车行道边缘线、人行横道线、减速让行线、振荡减速标线等。</w:t>
      </w:r>
    </w:p>
    <w:p w14:paraId="37190408">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①车道边缘线采用线宽15cm的白色热熔型涂料面撒反光玻璃珠的标线。</w:t>
      </w:r>
    </w:p>
    <w:p w14:paraId="139DB0D4">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②人行横道线的最小长度为3m，可根据行人交通量以1m为一级加宽。人行横道线线宽40cm，间隔60cm。人行横道线长度根据现场原状人行横道线长度调整，按照原样恢复。</w:t>
      </w:r>
    </w:p>
    <w:p w14:paraId="38AB22C8">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③减速让行线，在道路终点接入主路位置设置减速让行标线。</w:t>
      </w:r>
    </w:p>
    <w:p w14:paraId="0C737DA0">
      <w:pPr>
        <w:wordWrap w:val="0"/>
        <w:overflowPunct w:val="0"/>
        <w:spacing w:line="360" w:lineRule="auto"/>
        <w:ind w:firstLine="560" w:firstLineChars="200"/>
        <w:jc w:val="left"/>
        <w:rPr>
          <w:rFonts w:hint="eastAsia" w:ascii="仿宋" w:hAnsi="仿宋" w:eastAsia="仿宋" w:cs="仿宋"/>
          <w:color w:val="FF0000"/>
          <w:sz w:val="28"/>
          <w:szCs w:val="28"/>
          <w:highlight w:val="none"/>
          <w:lang w:val="en-US" w:eastAsia="zh-CN"/>
        </w:rPr>
      </w:pPr>
      <w:r>
        <w:rPr>
          <w:rFonts w:hint="eastAsia" w:ascii="仿宋" w:hAnsi="仿宋" w:eastAsia="仿宋" w:cs="仿宋"/>
          <w:color w:val="FF0000"/>
          <w:sz w:val="28"/>
          <w:szCs w:val="28"/>
          <w:highlight w:val="none"/>
          <w:lang w:val="en-US" w:eastAsia="zh-CN"/>
        </w:rPr>
        <w:t>④振荡减速标线，为避免车速过快给行车带来安全隐患，全线在坡度大于5%下坡路段设置振荡标线。每5根组成一组振荡标线，每15米设置一组，材料采用热熔突起型涂料。施工时必须要保证路面清洁干净，并在路面上涂布不少于100g/m</w:t>
      </w:r>
      <w:r>
        <w:rPr>
          <w:rFonts w:hint="eastAsia" w:ascii="仿宋" w:hAnsi="仿宋" w:eastAsia="仿宋" w:cs="仿宋"/>
          <w:color w:val="FF0000"/>
          <w:sz w:val="28"/>
          <w:szCs w:val="28"/>
          <w:highlight w:val="none"/>
          <w:vertAlign w:val="superscript"/>
          <w:lang w:val="en-US" w:eastAsia="zh-CN"/>
        </w:rPr>
        <w:t>2</w:t>
      </w:r>
      <w:r>
        <w:rPr>
          <w:rFonts w:hint="eastAsia" w:ascii="仿宋" w:hAnsi="仿宋" w:eastAsia="仿宋" w:cs="仿宋"/>
          <w:color w:val="FF0000"/>
          <w:sz w:val="28"/>
          <w:szCs w:val="28"/>
          <w:highlight w:val="none"/>
          <w:lang w:val="en-US" w:eastAsia="zh-CN"/>
        </w:rPr>
        <w:t>的底漆，待底漆充分干燥后才施化振荡标线，同时在其表面撒布不少于500g/m</w:t>
      </w:r>
      <w:r>
        <w:rPr>
          <w:rFonts w:hint="eastAsia" w:ascii="仿宋" w:hAnsi="仿宋" w:eastAsia="仿宋" w:cs="仿宋"/>
          <w:color w:val="FF0000"/>
          <w:sz w:val="28"/>
          <w:szCs w:val="28"/>
          <w:highlight w:val="none"/>
          <w:vertAlign w:val="superscript"/>
          <w:lang w:val="en-US" w:eastAsia="zh-CN"/>
        </w:rPr>
        <w:t>2</w:t>
      </w:r>
      <w:r>
        <w:rPr>
          <w:rFonts w:hint="eastAsia" w:ascii="仿宋" w:hAnsi="仿宋" w:eastAsia="仿宋" w:cs="仿宋"/>
          <w:color w:val="FF0000"/>
          <w:sz w:val="28"/>
          <w:szCs w:val="28"/>
          <w:highlight w:val="none"/>
          <w:lang w:val="en-US" w:eastAsia="zh-CN"/>
        </w:rPr>
        <w:t>的反光玻璃微珠。具体振荡标线设置情况如下表：</w:t>
      </w:r>
    </w:p>
    <w:tbl>
      <w:tblPr>
        <w:tblStyle w:val="24"/>
        <w:tblW w:w="8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2381"/>
        <w:gridCol w:w="1312"/>
        <w:gridCol w:w="2400"/>
        <w:gridCol w:w="1556"/>
      </w:tblGrid>
      <w:tr w14:paraId="1EA99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14" w:type="dxa"/>
            <w:noWrap w:val="0"/>
            <w:vAlign w:val="center"/>
          </w:tcPr>
          <w:p w14:paraId="1D30CAEC">
            <w:pPr>
              <w:pStyle w:val="29"/>
              <w:widowControl/>
              <w:spacing w:line="240" w:lineRule="auto"/>
              <w:ind w:firstLine="0" w:firstLineChars="0"/>
              <w:jc w:val="center"/>
              <w:rPr>
                <w:rFonts w:hint="eastAsia" w:ascii="仿宋" w:hAnsi="仿宋" w:eastAsia="仿宋" w:cs="仿宋"/>
                <w:color w:val="FF0000"/>
                <w:kern w:val="2"/>
                <w:highlight w:val="none"/>
              </w:rPr>
            </w:pPr>
            <w:r>
              <w:rPr>
                <w:rFonts w:hint="eastAsia" w:ascii="仿宋" w:hAnsi="仿宋" w:eastAsia="仿宋" w:cs="仿宋"/>
                <w:color w:val="FF0000"/>
                <w:kern w:val="2"/>
                <w:highlight w:val="none"/>
              </w:rPr>
              <w:t>序号</w:t>
            </w:r>
          </w:p>
        </w:tc>
        <w:tc>
          <w:tcPr>
            <w:tcW w:w="2381" w:type="dxa"/>
            <w:noWrap w:val="0"/>
            <w:vAlign w:val="center"/>
          </w:tcPr>
          <w:p w14:paraId="5B5D6C49">
            <w:pPr>
              <w:pStyle w:val="29"/>
              <w:widowControl/>
              <w:spacing w:line="240" w:lineRule="auto"/>
              <w:ind w:firstLine="0" w:firstLineChars="0"/>
              <w:jc w:val="center"/>
              <w:rPr>
                <w:rFonts w:hint="eastAsia" w:ascii="仿宋" w:hAnsi="仿宋" w:eastAsia="仿宋" w:cs="仿宋"/>
                <w:color w:val="FF0000"/>
                <w:kern w:val="2"/>
                <w:highlight w:val="none"/>
              </w:rPr>
            </w:pPr>
            <w:r>
              <w:rPr>
                <w:rFonts w:hint="eastAsia" w:ascii="仿宋" w:hAnsi="仿宋" w:eastAsia="仿宋" w:cs="仿宋"/>
                <w:color w:val="FF0000"/>
                <w:kern w:val="2"/>
                <w:highlight w:val="none"/>
              </w:rPr>
              <w:t>桩号范围</w:t>
            </w:r>
          </w:p>
        </w:tc>
        <w:tc>
          <w:tcPr>
            <w:tcW w:w="1312" w:type="dxa"/>
            <w:noWrap w:val="0"/>
            <w:vAlign w:val="center"/>
          </w:tcPr>
          <w:p w14:paraId="539A3428">
            <w:pPr>
              <w:pStyle w:val="29"/>
              <w:widowControl/>
              <w:spacing w:line="240" w:lineRule="auto"/>
              <w:ind w:firstLine="0" w:firstLineChars="0"/>
              <w:jc w:val="center"/>
              <w:rPr>
                <w:rFonts w:hint="eastAsia" w:ascii="仿宋" w:hAnsi="仿宋" w:eastAsia="仿宋" w:cs="仿宋"/>
                <w:color w:val="FF0000"/>
                <w:kern w:val="2"/>
                <w:highlight w:val="none"/>
              </w:rPr>
            </w:pPr>
            <w:r>
              <w:rPr>
                <w:rFonts w:hint="eastAsia" w:ascii="仿宋" w:hAnsi="仿宋" w:eastAsia="仿宋" w:cs="仿宋"/>
                <w:color w:val="FF0000"/>
                <w:kern w:val="2"/>
                <w:highlight w:val="none"/>
              </w:rPr>
              <w:t>长度（m）</w:t>
            </w:r>
          </w:p>
        </w:tc>
        <w:tc>
          <w:tcPr>
            <w:tcW w:w="2400" w:type="dxa"/>
            <w:noWrap w:val="0"/>
            <w:vAlign w:val="center"/>
          </w:tcPr>
          <w:p w14:paraId="0B2A62C9">
            <w:pPr>
              <w:pStyle w:val="29"/>
              <w:widowControl/>
              <w:spacing w:line="240" w:lineRule="auto"/>
              <w:ind w:firstLine="0" w:firstLineChars="0"/>
              <w:jc w:val="center"/>
              <w:rPr>
                <w:rFonts w:hint="eastAsia" w:ascii="仿宋" w:hAnsi="仿宋" w:eastAsia="仿宋" w:cs="仿宋"/>
                <w:color w:val="FF0000"/>
                <w:kern w:val="2"/>
                <w:highlight w:val="none"/>
              </w:rPr>
            </w:pPr>
            <w:r>
              <w:rPr>
                <w:rFonts w:hint="eastAsia" w:ascii="仿宋" w:hAnsi="仿宋" w:eastAsia="仿宋" w:cs="仿宋"/>
                <w:color w:val="FF0000"/>
                <w:kern w:val="2"/>
                <w:highlight w:val="none"/>
              </w:rPr>
              <w:t>振荡标线（m</w:t>
            </w:r>
            <w:r>
              <w:rPr>
                <w:rFonts w:hint="eastAsia" w:ascii="仿宋" w:hAnsi="仿宋" w:eastAsia="仿宋" w:cs="仿宋"/>
                <w:color w:val="FF0000"/>
                <w:kern w:val="2"/>
                <w:highlight w:val="none"/>
                <w:vertAlign w:val="superscript"/>
                <w:lang w:val="en-US" w:eastAsia="zh-CN"/>
              </w:rPr>
              <w:t>2</w:t>
            </w:r>
            <w:r>
              <w:rPr>
                <w:rFonts w:hint="eastAsia" w:ascii="仿宋" w:hAnsi="仿宋" w:eastAsia="仿宋" w:cs="仿宋"/>
                <w:color w:val="FF0000"/>
                <w:kern w:val="2"/>
                <w:highlight w:val="none"/>
              </w:rPr>
              <w:t>）</w:t>
            </w:r>
          </w:p>
        </w:tc>
        <w:tc>
          <w:tcPr>
            <w:tcW w:w="1556" w:type="dxa"/>
            <w:noWrap w:val="0"/>
            <w:vAlign w:val="center"/>
          </w:tcPr>
          <w:p w14:paraId="311180E3">
            <w:pPr>
              <w:pStyle w:val="29"/>
              <w:widowControl/>
              <w:spacing w:line="240" w:lineRule="auto"/>
              <w:ind w:firstLine="0" w:firstLineChars="0"/>
              <w:jc w:val="center"/>
              <w:rPr>
                <w:rFonts w:hint="eastAsia" w:ascii="仿宋" w:hAnsi="仿宋" w:eastAsia="仿宋" w:cs="仿宋"/>
                <w:color w:val="FF0000"/>
                <w:kern w:val="2"/>
                <w:highlight w:val="none"/>
              </w:rPr>
            </w:pPr>
            <w:r>
              <w:rPr>
                <w:rFonts w:hint="eastAsia" w:ascii="仿宋" w:hAnsi="仿宋" w:eastAsia="仿宋" w:cs="仿宋"/>
                <w:color w:val="FF0000"/>
                <w:kern w:val="2"/>
                <w:highlight w:val="none"/>
              </w:rPr>
              <w:t>备注</w:t>
            </w:r>
          </w:p>
        </w:tc>
      </w:tr>
      <w:tr w14:paraId="1CE7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714" w:type="dxa"/>
            <w:noWrap w:val="0"/>
            <w:vAlign w:val="center"/>
          </w:tcPr>
          <w:p w14:paraId="4D63B3AA">
            <w:pPr>
              <w:pStyle w:val="29"/>
              <w:widowControl/>
              <w:spacing w:line="240" w:lineRule="auto"/>
              <w:ind w:firstLine="0" w:firstLineChars="0"/>
              <w:jc w:val="center"/>
              <w:rPr>
                <w:rFonts w:hint="eastAsia" w:ascii="仿宋" w:hAnsi="仿宋" w:eastAsia="仿宋" w:cs="仿宋"/>
                <w:color w:val="FF0000"/>
                <w:kern w:val="2"/>
                <w:highlight w:val="none"/>
              </w:rPr>
            </w:pPr>
            <w:r>
              <w:rPr>
                <w:rFonts w:hint="eastAsia" w:ascii="仿宋" w:hAnsi="仿宋" w:eastAsia="仿宋" w:cs="仿宋"/>
                <w:color w:val="FF0000"/>
                <w:kern w:val="2"/>
                <w:highlight w:val="none"/>
              </w:rPr>
              <w:t>1</w:t>
            </w:r>
          </w:p>
        </w:tc>
        <w:tc>
          <w:tcPr>
            <w:tcW w:w="2381" w:type="dxa"/>
            <w:noWrap w:val="0"/>
            <w:vAlign w:val="center"/>
          </w:tcPr>
          <w:p w14:paraId="7A5D0F51">
            <w:pPr>
              <w:pStyle w:val="29"/>
              <w:widowControl/>
              <w:spacing w:line="240" w:lineRule="auto"/>
              <w:ind w:firstLine="0" w:firstLineChars="0"/>
              <w:jc w:val="center"/>
              <w:rPr>
                <w:rFonts w:hint="eastAsia" w:ascii="仿宋" w:hAnsi="仿宋" w:eastAsia="仿宋" w:cs="仿宋"/>
                <w:color w:val="FF0000"/>
                <w:kern w:val="2"/>
                <w:highlight w:val="none"/>
                <w:lang w:val="en-US" w:eastAsia="zh-CN"/>
              </w:rPr>
            </w:pPr>
            <w:r>
              <w:rPr>
                <w:rFonts w:hint="eastAsia" w:ascii="仿宋" w:hAnsi="仿宋" w:eastAsia="仿宋" w:cs="仿宋"/>
                <w:color w:val="FF0000"/>
                <w:kern w:val="2"/>
                <w:highlight w:val="none"/>
              </w:rPr>
              <w:t>K</w:t>
            </w:r>
            <w:r>
              <w:rPr>
                <w:rFonts w:hint="eastAsia" w:ascii="仿宋" w:hAnsi="仿宋" w:eastAsia="仿宋" w:cs="仿宋"/>
                <w:color w:val="FF0000"/>
                <w:kern w:val="2"/>
                <w:highlight w:val="none"/>
                <w:lang w:val="en-US" w:eastAsia="zh-CN"/>
              </w:rPr>
              <w:t>0+095</w:t>
            </w:r>
            <w:r>
              <w:rPr>
                <w:rFonts w:hint="eastAsia" w:ascii="仿宋" w:hAnsi="仿宋" w:eastAsia="仿宋" w:cs="仿宋"/>
                <w:color w:val="FF0000"/>
                <w:kern w:val="2"/>
                <w:highlight w:val="none"/>
              </w:rPr>
              <w:t>-K</w:t>
            </w:r>
            <w:r>
              <w:rPr>
                <w:rFonts w:hint="eastAsia" w:ascii="仿宋" w:hAnsi="仿宋" w:eastAsia="仿宋" w:cs="仿宋"/>
                <w:color w:val="FF0000"/>
                <w:kern w:val="2"/>
                <w:highlight w:val="none"/>
                <w:lang w:val="en-US" w:eastAsia="zh-CN"/>
              </w:rPr>
              <w:t>0</w:t>
            </w:r>
            <w:r>
              <w:rPr>
                <w:rFonts w:hint="eastAsia" w:ascii="仿宋" w:hAnsi="仿宋" w:eastAsia="仿宋" w:cs="仿宋"/>
                <w:color w:val="FF0000"/>
                <w:kern w:val="2"/>
                <w:highlight w:val="none"/>
              </w:rPr>
              <w:t>+302</w:t>
            </w:r>
          </w:p>
        </w:tc>
        <w:tc>
          <w:tcPr>
            <w:tcW w:w="1312" w:type="dxa"/>
            <w:noWrap w:val="0"/>
            <w:vAlign w:val="center"/>
          </w:tcPr>
          <w:p w14:paraId="41553D2B">
            <w:pPr>
              <w:pStyle w:val="29"/>
              <w:widowControl/>
              <w:spacing w:line="240" w:lineRule="auto"/>
              <w:ind w:firstLine="0" w:firstLineChars="0"/>
              <w:jc w:val="center"/>
              <w:rPr>
                <w:rFonts w:hint="default" w:ascii="仿宋" w:hAnsi="仿宋" w:eastAsia="仿宋" w:cs="仿宋"/>
                <w:color w:val="FF0000"/>
                <w:kern w:val="2"/>
                <w:highlight w:val="none"/>
                <w:lang w:val="en-US" w:eastAsia="zh-CN"/>
              </w:rPr>
            </w:pPr>
            <w:r>
              <w:rPr>
                <w:rFonts w:hint="eastAsia" w:ascii="仿宋" w:hAnsi="仿宋" w:eastAsia="仿宋" w:cs="仿宋"/>
                <w:color w:val="FF0000"/>
                <w:kern w:val="2"/>
                <w:highlight w:val="none"/>
                <w:lang w:val="en-US" w:eastAsia="zh-CN"/>
              </w:rPr>
              <w:t>207</w:t>
            </w:r>
          </w:p>
        </w:tc>
        <w:tc>
          <w:tcPr>
            <w:tcW w:w="2400" w:type="dxa"/>
            <w:noWrap w:val="0"/>
            <w:vAlign w:val="center"/>
          </w:tcPr>
          <w:p w14:paraId="568BAD4A">
            <w:pPr>
              <w:pStyle w:val="29"/>
              <w:widowControl/>
              <w:spacing w:line="240" w:lineRule="auto"/>
              <w:ind w:firstLine="0" w:firstLineChars="0"/>
              <w:jc w:val="center"/>
              <w:rPr>
                <w:rFonts w:hint="default" w:ascii="仿宋" w:hAnsi="仿宋" w:eastAsia="仿宋" w:cs="仿宋"/>
                <w:color w:val="FF0000"/>
                <w:kern w:val="2"/>
                <w:highlight w:val="none"/>
                <w:lang w:val="en-US" w:eastAsia="zh-CN"/>
              </w:rPr>
            </w:pPr>
            <w:r>
              <w:rPr>
                <w:rFonts w:hint="eastAsia" w:ascii="仿宋" w:hAnsi="仿宋" w:eastAsia="仿宋" w:cs="仿宋"/>
                <w:color w:val="FF0000"/>
                <w:kern w:val="2"/>
                <w:highlight w:val="none"/>
                <w:lang w:val="en-US" w:eastAsia="zh-CN"/>
              </w:rPr>
              <w:t>55</w:t>
            </w:r>
          </w:p>
        </w:tc>
        <w:tc>
          <w:tcPr>
            <w:tcW w:w="1556" w:type="dxa"/>
            <w:noWrap w:val="0"/>
            <w:vAlign w:val="center"/>
          </w:tcPr>
          <w:p w14:paraId="576F2442">
            <w:pPr>
              <w:pStyle w:val="29"/>
              <w:widowControl/>
              <w:spacing w:line="240" w:lineRule="auto"/>
              <w:ind w:firstLine="0" w:firstLineChars="0"/>
              <w:jc w:val="center"/>
              <w:rPr>
                <w:rFonts w:hint="eastAsia" w:ascii="仿宋" w:hAnsi="仿宋" w:eastAsia="仿宋" w:cs="仿宋"/>
                <w:color w:val="FF0000"/>
                <w:kern w:val="2"/>
                <w:highlight w:val="none"/>
                <w:lang w:val="en-US" w:eastAsia="zh-CN"/>
              </w:rPr>
            </w:pPr>
            <w:r>
              <w:rPr>
                <w:rFonts w:hint="eastAsia" w:ascii="仿宋" w:hAnsi="仿宋" w:eastAsia="仿宋" w:cs="仿宋"/>
                <w:color w:val="FF0000"/>
                <w:kern w:val="2"/>
                <w:highlight w:val="none"/>
                <w:lang w:val="en-US" w:eastAsia="zh-CN"/>
              </w:rPr>
              <w:t>14组</w:t>
            </w:r>
          </w:p>
        </w:tc>
      </w:tr>
    </w:tbl>
    <w:p w14:paraId="305F68A0">
      <w:pPr>
        <w:wordWrap w:val="0"/>
        <w:overflowPunct w:val="0"/>
        <w:spacing w:line="240" w:lineRule="auto"/>
        <w:ind w:firstLine="560" w:firstLineChars="200"/>
        <w:jc w:val="left"/>
        <w:rPr>
          <w:rFonts w:hint="eastAsia" w:ascii="仿宋" w:hAnsi="仿宋" w:eastAsia="仿宋" w:cs="仿宋"/>
          <w:color w:val="auto"/>
          <w:sz w:val="28"/>
          <w:szCs w:val="28"/>
          <w:highlight w:val="none"/>
          <w:lang w:val="en-US" w:eastAsia="zh-CN"/>
        </w:rPr>
      </w:pPr>
    </w:p>
    <w:p w14:paraId="36F1F4BE">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（2）技术要求</w:t>
      </w:r>
    </w:p>
    <w:p w14:paraId="3E581CB5">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所有标线及标记均采用热熔型反光涂料；</w:t>
      </w:r>
    </w:p>
    <w:p w14:paraId="383D0026">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用于施划道路交通标线的涂料应具有良好的抗滑、耐磨性能，并应具有可视性，具备良好的反射能力，白天、夜间及雨天视认性符合要求。</w:t>
      </w:r>
    </w:p>
    <w:p w14:paraId="031AC37A">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热熔标线干膜厚度普通型1.8mm，突起型3.6mm，涂料中应混合占总量18%的玻璃微珠，在喷涂时，标线表面还应均撒0.3Kg/ m2的玻璃微珠；</w:t>
      </w:r>
    </w:p>
    <w:p w14:paraId="5A7668AE">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地面标线设置应严格按照《城市道路交通标志和标线设置规范》（GB 51038-2015）规定执行；</w:t>
      </w:r>
    </w:p>
    <w:p w14:paraId="64248CF1">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交通标线颜色的色度性能应符合《道路交通标线质量要求和检测方法》（GB/T16311-2009）的规定；</w:t>
      </w:r>
    </w:p>
    <w:p w14:paraId="1CAB520C">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新划交通标线的初始逆反射系数应符合《新划路面标线初始逆反射亮度系数及测试方法》（GB/T21383-2008）的规定；白色反光标线逆反射亮度系数应不小于150mcd.1x-1.m-2.，黄色反光标线的逆反射亮度系数应不小于100mcd.1x-1.m-2; 在正常使用年限内，白色反光标线的逆反射亮度不应低于80mcd.1lx-1.m-2,黄色反光标线的初始逆反射亮度系数应不小于50mcd. 1x-1.m-2。</w:t>
      </w:r>
    </w:p>
    <w:p w14:paraId="352FE29F">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（3）标线施工要求</w:t>
      </w:r>
    </w:p>
    <w:p w14:paraId="5D3AA0F9">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1）热塑标线涂料必须符合交通标线的技术要求：耐久、耐腐蚀，与路面粘结强；在恶劣的气候条件下，具有较好的辨认性；具有防滑性能和一定的粗度，便于施工，与人无害。</w:t>
      </w:r>
    </w:p>
    <w:p w14:paraId="34FA1BD9">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2）路面施工标线之前，要求路面干燥、清洁，除净杂物和灰尘。</w:t>
      </w:r>
    </w:p>
    <w:p w14:paraId="59636E2C">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3）划标线之前，要根据设计图纸要求并结合道路平曲线要素、匝道曲线要素等实地方线，以保证标线位置精确、线形顺畅。</w:t>
      </w:r>
    </w:p>
    <w:p w14:paraId="49645B00">
      <w:pPr>
        <w:wordWrap w:val="0"/>
        <w:overflowPunct w:val="0"/>
        <w:spacing w:line="360" w:lineRule="auto"/>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标线的施工必须注意：施工前应设置相应的施工安全设施，彻底清扫标线施工范围内的路面，并按设计或原有的线型要求放样；各种标线或底漆漆划后，应放置锥型路标等护线物体，加强护线措施，不应有车轮带出涂料、压漆现象；检查涂敷后标线的色泽、厚度、宽度、玻璃珠撒布的质量和数量以及线型等，对不符合要求的标线进行修整，并将残留物清除干净。</w:t>
      </w:r>
    </w:p>
    <w:bookmarkEnd w:id="72"/>
    <w:bookmarkEnd w:id="73"/>
    <w:p w14:paraId="22F1402C">
      <w:pPr>
        <w:pStyle w:val="35"/>
        <w:numPr>
          <w:ilvl w:val="0"/>
          <w:numId w:val="1"/>
        </w:numPr>
        <w:adjustRightInd w:val="0"/>
        <w:snapToGrid w:val="0"/>
        <w:ind w:firstLineChars="0"/>
        <w:outlineLvl w:val="0"/>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城市建筑垃圾再生产品推广应用</w:t>
      </w:r>
    </w:p>
    <w:p w14:paraId="6FA19FB5">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根据《重庆市人民政府办公厅关于印发主城区城市建筑垃圾治理试点工作实施方案的通知》（渝府办【2019】4号）和《重庆市住房和城乡建设委员会关于主城区城市建筑垃圾再生产品推广应用试点工作的指导意见》（渝建【2019】434号），本次设计考虑建筑垃圾资源化再生产品替代用量应不少于30%。</w:t>
      </w:r>
    </w:p>
    <w:p w14:paraId="28526FB6">
      <w:pPr>
        <w:pStyle w:val="35"/>
        <w:numPr>
          <w:ilvl w:val="0"/>
          <w:numId w:val="1"/>
        </w:numPr>
        <w:adjustRightInd w:val="0"/>
        <w:snapToGrid w:val="0"/>
        <w:ind w:firstLineChars="0"/>
        <w:outlineLvl w:val="0"/>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施工注意事项</w:t>
      </w:r>
    </w:p>
    <w:p w14:paraId="2F8838F2">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（1）施工单位必须严格按本施工设计图及《给排水管道工程施工及验收规范》、《混凝土工程施工及验收规范》等有关国家现行的施工规范进行施工。</w:t>
      </w:r>
    </w:p>
    <w:p w14:paraId="5E68A9E9">
      <w:pPr>
        <w:ind w:firstLine="703" w:firstLineChars="250"/>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2）施工前应校测拟建管道上下游接口、高程、断面和位置进行复测，确保满足接入条件后方可施工。同时对周边管线、周边构筑物、建筑物基础进行复测，评估施工开挖对现状基础影响，确保安全后方可施工。若开挖中发现图中未示意的排水管道，应通知业主和监理，并联系设计人员。</w:t>
      </w:r>
    </w:p>
    <w:p w14:paraId="012EEE30">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（3）所有的材料、产品均应有出厂检验合格证书，进场应按相关程序进行进场检验。</w:t>
      </w:r>
    </w:p>
    <w:p w14:paraId="3601F456">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（4）施工中发现问题，或设计资料之间、设计与现场情况之间有不符之处，应及时通知设计单位，以会同建设单位、监理单位及质监等部门共同研究处理，以确保工程质量。施工单位不得擅自进行处理。</w:t>
      </w:r>
    </w:p>
    <w:p w14:paraId="614A2103">
      <w:pPr>
        <w:ind w:firstLine="703" w:firstLineChars="250"/>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5）施工前必须做好防洪工作、排水工作和施工组织计划，有组织，有计划有，步骤组织施工。并组织材料进场，堆放，搞好临时排水。施工组织计划须经项目监理研究批准后才可允许进场施工。排水工作详《建筑工地排水技术标准》。</w:t>
      </w:r>
    </w:p>
    <w:p w14:paraId="3B6D79B5">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（6）本设计要求各管段连接时，必须用同一测量控制点。施工前应对排水的进出口处的高程进行校核，杜绝水排不出去的事故发生。</w:t>
      </w:r>
    </w:p>
    <w:p w14:paraId="537FEAD8">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（7）沟槽开挖时应注意施工安全，开挖放坡坡度根据地质情况严格按规范要求执行。防止跨塌伤人事故发生。</w:t>
      </w:r>
    </w:p>
    <w:p w14:paraId="61F8CA41">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（8）施工每一道工序完毕后，须经现场监理，项目监理认定合格后方可进行下一道工序施工。施工中做好施工记录和资料整理，资料必须满足业主要求及国家规定。</w:t>
      </w:r>
    </w:p>
    <w:p w14:paraId="74C32935">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（9）污水管道必须做闭水试验,按照《给水排水管道施工及验收规范》GB50268-2008执行。</w:t>
      </w:r>
    </w:p>
    <w:p w14:paraId="0796A048">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（10）管道施工开挖范围涉及到有现状管线的位置时，应采用人工薄层轻挖，并应做好现状管线保护和加固措施，避免施工过程对现状管线和地下构筑物造成影响和破坏。</w:t>
      </w:r>
    </w:p>
    <w:p w14:paraId="758EEFC3">
      <w:pPr>
        <w:ind w:firstLine="703" w:firstLineChars="250"/>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11）根据《关于进一步加强城市排水管网工程建设质量管理工作的通知》（渝建发〔2019〕10号），排水管网工程竣工验收资料应当包含管道内窥检测报告（含影像资料）、竣工测量成果资料等相关工程资料。市政工程配套的排水管网工程还应提供排水行业主管部门核发的排水许可证/对因工程建设改迁排水设施的相关审核意见。</w:t>
      </w:r>
    </w:p>
    <w:p w14:paraId="5F0C63A2">
      <w:pPr>
        <w:ind w:firstLine="703" w:firstLineChars="250"/>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12）本次管线实测资料，或存在与现场实际不符的情况，管线保护按现场施工实际情况进行相应工程量统计，概算中管线保护造价与实际可能出入。同时，各类管线的保护、迁改必须征得管线主管部门同意，并建议管线产权单位现场指导实施。</w:t>
      </w:r>
    </w:p>
    <w:p w14:paraId="3170D652">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13）在施工过程中，化粪池出水口位置及标高需在施工前进行复核，同时，对于新建管道沿线周边商铺的污水支管，或沿街的雨水支管，在施工过程中，进行排查后，需接入本次设计的雨水管或污水管，以实现该条道路的雨污分流。新建雨水边沟根据应根据现场复核，可根据现场开挖情况优化边沟布置，同时有条件新增修建雨水边沟的地方与设计方沟通后增加。</w:t>
      </w:r>
    </w:p>
    <w:p w14:paraId="071D5B72">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（14）合流管改造后作为雨水管使用时，施工单位务必确保将接入合流管的污水全部接入新建污水管网中；合流管改造后作为污水管使用时，新建雨篦子旁边有原雨篦子时，需要对原雨篦子进行封堵。</w:t>
      </w:r>
    </w:p>
    <w:p w14:paraId="6098B789">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（15）合流管下游接污水干管，设置截流井，请业主与主管部门沟通，确认截流倍数取值是否满足区域水体质量标准及排放溢流要求。</w:t>
      </w:r>
    </w:p>
    <w:p w14:paraId="39309F46">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（16）雨季施工期间，做好防洪排水工作，结合施工现场周围实际地形地貌，完善雨季防排水设施，保证施工场地排水畅通，作业面和施工便道不积水。</w:t>
      </w:r>
    </w:p>
    <w:p w14:paraId="28B4F890">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（17）设计管线投入运行后必须严格执行雨、污分流体制，严禁雨水接入污水管线或污水管线接入雨水管道。</w:t>
      </w:r>
    </w:p>
    <w:p w14:paraId="4FFBA415">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（18）管道维护及井下作业需严格按照相关规范要求执行。</w:t>
      </w:r>
    </w:p>
    <w:p w14:paraId="10713D34">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（19）管道疏通作业前，应对作业人员进行安全交底，告知作业内容、安全注意事项及应采取的安全措施，</w:t>
      </w:r>
    </w:p>
    <w:p w14:paraId="4DD5E432">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（20）下井工作前，维护作业单位必须检测管道内有害气体。井下作业时，必须进行连续气体检测，且井上监护人员不得少于两人；进入管道内作业时，井室内应设置专人呼应和监护，监护人员严禁擅离职守。</w:t>
      </w:r>
    </w:p>
    <w:p w14:paraId="6D2268B4">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（21）其余未尽事宜按国家现行规范和标准执行。</w:t>
      </w:r>
    </w:p>
    <w:p w14:paraId="7E89E703">
      <w:pPr>
        <w:pStyle w:val="35"/>
        <w:numPr>
          <w:ilvl w:val="0"/>
          <w:numId w:val="1"/>
        </w:numPr>
        <w:adjustRightInd w:val="0"/>
        <w:snapToGrid w:val="0"/>
        <w:ind w:firstLineChars="0"/>
        <w:outlineLvl w:val="0"/>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危大工程注意事项</w:t>
      </w:r>
    </w:p>
    <w:p w14:paraId="19905B81">
      <w:pPr>
        <w:adjustRightInd w:val="0"/>
        <w:snapToGrid w:val="0"/>
        <w:ind w:firstLine="562"/>
        <w:outlineLvl w:val="1"/>
        <w:rPr>
          <w:rFonts w:hint="eastAsia" w:ascii="仿宋" w:hAnsi="仿宋" w:eastAsia="仿宋" w:cs="仿宋"/>
          <w:b/>
          <w:color w:val="auto"/>
          <w:szCs w:val="28"/>
          <w:highlight w:val="none"/>
        </w:rPr>
      </w:pPr>
      <w:bookmarkStart w:id="82" w:name="_Toc63326463"/>
      <w:r>
        <w:rPr>
          <w:rFonts w:hint="eastAsia" w:ascii="仿宋" w:hAnsi="仿宋" w:eastAsia="仿宋" w:cs="仿宋"/>
          <w:b/>
          <w:color w:val="auto"/>
          <w:szCs w:val="28"/>
          <w:highlight w:val="none"/>
        </w:rPr>
        <w:t>1</w:t>
      </w:r>
      <w:r>
        <w:rPr>
          <w:rFonts w:hint="eastAsia" w:ascii="仿宋" w:hAnsi="仿宋" w:eastAsia="仿宋" w:cs="仿宋"/>
          <w:b/>
          <w:color w:val="auto"/>
          <w:szCs w:val="28"/>
          <w:highlight w:val="none"/>
          <w:lang w:val="en-US" w:eastAsia="zh-CN"/>
        </w:rPr>
        <w:t>2</w:t>
      </w:r>
      <w:r>
        <w:rPr>
          <w:rFonts w:hint="eastAsia" w:ascii="仿宋" w:hAnsi="仿宋" w:eastAsia="仿宋" w:cs="仿宋"/>
          <w:b/>
          <w:color w:val="auto"/>
          <w:szCs w:val="28"/>
          <w:highlight w:val="none"/>
        </w:rPr>
        <w:t>.1危大工程的重点部位和环节及保障措施</w:t>
      </w:r>
      <w:bookmarkEnd w:id="82"/>
    </w:p>
    <w:p w14:paraId="29522314">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根据《建设工程安全生产管理条例》（国务院令393号）、住房和城乡建设部《危险性较大的分部分项工程安全管理规定》（住建部令第37号）和《关于实施《危险性较大的分部分项工程安全管理规定》有关问题的通知》（建办质〔2018〕31号），本工程施工单位应该根据上述文件要求编制专项顶管安全施工方案并明确安全防护、应急措施。</w:t>
      </w:r>
    </w:p>
    <w:p w14:paraId="350F7038">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本工程主要涉及危大施工部分如下：</w:t>
      </w:r>
    </w:p>
    <w:p w14:paraId="284DB6EA">
      <w:pPr>
        <w:ind w:firstLine="700" w:firstLineChars="250"/>
        <w:rPr>
          <w:rFonts w:hint="eastAsia" w:ascii="仿宋" w:hAnsi="仿宋" w:eastAsia="仿宋" w:cs="仿宋"/>
          <w:color w:val="auto"/>
          <w:szCs w:val="28"/>
          <w:highlight w:val="none"/>
        </w:rPr>
      </w:pPr>
    </w:p>
    <w:p w14:paraId="1FC657C1">
      <w:pPr>
        <w:ind w:firstLine="700" w:firstLineChars="250"/>
        <w:rPr>
          <w:rFonts w:hint="eastAsia" w:ascii="仿宋" w:hAnsi="仿宋" w:eastAsia="仿宋" w:cs="仿宋"/>
          <w:color w:val="auto"/>
          <w:szCs w:val="28"/>
          <w:highlight w:val="none"/>
        </w:rPr>
      </w:pPr>
    </w:p>
    <w:p w14:paraId="7C12DCD4">
      <w:pPr>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危大工程清单</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2"/>
        <w:gridCol w:w="1700"/>
        <w:gridCol w:w="1489"/>
        <w:gridCol w:w="2381"/>
        <w:gridCol w:w="4257"/>
      </w:tblGrid>
      <w:tr w14:paraId="31060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07" w:type="pct"/>
            <w:vAlign w:val="center"/>
          </w:tcPr>
          <w:p w14:paraId="6DE64AE4">
            <w:pPr>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序号</w:t>
            </w:r>
          </w:p>
        </w:tc>
        <w:tc>
          <w:tcPr>
            <w:tcW w:w="1523" w:type="pct"/>
            <w:gridSpan w:val="2"/>
            <w:vAlign w:val="center"/>
          </w:tcPr>
          <w:p w14:paraId="5382A1C0">
            <w:pPr>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危大工程名称</w:t>
            </w:r>
          </w:p>
        </w:tc>
        <w:tc>
          <w:tcPr>
            <w:tcW w:w="1137" w:type="pct"/>
            <w:vAlign w:val="center"/>
          </w:tcPr>
          <w:p w14:paraId="7EB777CE">
            <w:pPr>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重点部位及环节</w:t>
            </w:r>
          </w:p>
        </w:tc>
        <w:tc>
          <w:tcPr>
            <w:tcW w:w="2033" w:type="pct"/>
            <w:vAlign w:val="center"/>
          </w:tcPr>
          <w:p w14:paraId="28C25444">
            <w:pPr>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保障工程周边环境安全和工程施工安全意见</w:t>
            </w:r>
          </w:p>
        </w:tc>
      </w:tr>
      <w:tr w14:paraId="2E3CD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0" w:hRule="atLeast"/>
          <w:jc w:val="center"/>
        </w:trPr>
        <w:tc>
          <w:tcPr>
            <w:tcW w:w="307" w:type="pct"/>
            <w:vMerge w:val="restart"/>
            <w:vAlign w:val="center"/>
          </w:tcPr>
          <w:p w14:paraId="0F6CDE3F">
            <w:pPr>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1</w:t>
            </w:r>
          </w:p>
        </w:tc>
        <w:tc>
          <w:tcPr>
            <w:tcW w:w="812" w:type="pct"/>
            <w:vMerge w:val="restart"/>
            <w:vAlign w:val="center"/>
          </w:tcPr>
          <w:p w14:paraId="6773AA45">
            <w:pPr>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基坑支护降水工程和土方开挖</w:t>
            </w:r>
          </w:p>
        </w:tc>
        <w:tc>
          <w:tcPr>
            <w:tcW w:w="711" w:type="pct"/>
            <w:vAlign w:val="center"/>
          </w:tcPr>
          <w:p w14:paraId="255D6F79">
            <w:pPr>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普通</w:t>
            </w:r>
          </w:p>
        </w:tc>
        <w:tc>
          <w:tcPr>
            <w:tcW w:w="1137" w:type="pct"/>
            <w:vAlign w:val="center"/>
          </w:tcPr>
          <w:p w14:paraId="247B6CC7">
            <w:pPr>
              <w:ind w:firstLine="0" w:firstLineChars="0"/>
              <w:jc w:val="left"/>
              <w:rPr>
                <w:rFonts w:hint="eastAsia" w:ascii="仿宋" w:hAnsi="仿宋" w:eastAsia="仿宋" w:cs="仿宋"/>
                <w:color w:val="auto"/>
                <w:szCs w:val="28"/>
                <w:highlight w:val="none"/>
              </w:rPr>
            </w:pPr>
            <w:r>
              <w:rPr>
                <w:rFonts w:hint="eastAsia" w:ascii="仿宋" w:hAnsi="仿宋" w:eastAsia="仿宋" w:cs="仿宋"/>
                <w:color w:val="auto"/>
                <w:szCs w:val="28"/>
                <w:highlight w:val="none"/>
              </w:rPr>
              <w:t>排水管井开挖高度超过3m（含3m）或虽未超过3m但地质条件和周边环境复杂的。</w:t>
            </w:r>
          </w:p>
        </w:tc>
        <w:tc>
          <w:tcPr>
            <w:tcW w:w="2033" w:type="pct"/>
            <w:vMerge w:val="restart"/>
            <w:vAlign w:val="center"/>
          </w:tcPr>
          <w:p w14:paraId="3C92AF46">
            <w:pPr>
              <w:ind w:firstLine="0" w:firstLineChars="0"/>
              <w:jc w:val="left"/>
              <w:rPr>
                <w:rFonts w:hint="eastAsia" w:ascii="仿宋" w:hAnsi="仿宋" w:eastAsia="仿宋" w:cs="仿宋"/>
                <w:color w:val="auto"/>
                <w:szCs w:val="28"/>
                <w:highlight w:val="none"/>
              </w:rPr>
            </w:pPr>
            <w:r>
              <w:rPr>
                <w:rFonts w:hint="eastAsia" w:ascii="仿宋" w:hAnsi="仿宋" w:eastAsia="仿宋" w:cs="仿宋"/>
                <w:color w:val="auto"/>
                <w:szCs w:val="28"/>
                <w:highlight w:val="none"/>
              </w:rPr>
              <w:t>1）施工单位应根据相关规范法规编制安全专项施工方案，通过安全审查后方可实施；</w:t>
            </w:r>
            <w:r>
              <w:rPr>
                <w:rFonts w:hint="eastAsia" w:ascii="仿宋" w:hAnsi="仿宋" w:eastAsia="仿宋" w:cs="仿宋"/>
                <w:color w:val="auto"/>
                <w:szCs w:val="28"/>
                <w:highlight w:val="none"/>
              </w:rPr>
              <w:br w:type="textWrapping"/>
            </w:r>
            <w:r>
              <w:rPr>
                <w:rFonts w:hint="eastAsia" w:ascii="仿宋" w:hAnsi="仿宋" w:eastAsia="仿宋" w:cs="仿宋"/>
                <w:color w:val="auto"/>
                <w:szCs w:val="28"/>
                <w:highlight w:val="none"/>
              </w:rPr>
              <w:t>2）基坑（槽）采用稳定临时坡率放坡开挖，根据现场实际地质情况，可调整临时坡率，必要时可施作临时支护，确保施工安全；</w:t>
            </w:r>
            <w:r>
              <w:rPr>
                <w:rFonts w:hint="eastAsia" w:ascii="仿宋" w:hAnsi="仿宋" w:eastAsia="仿宋" w:cs="仿宋"/>
                <w:color w:val="auto"/>
                <w:szCs w:val="28"/>
                <w:highlight w:val="none"/>
              </w:rPr>
              <w:br w:type="textWrapping"/>
            </w:r>
            <w:r>
              <w:rPr>
                <w:rFonts w:hint="eastAsia" w:ascii="仿宋" w:hAnsi="仿宋" w:eastAsia="仿宋" w:cs="仿宋"/>
                <w:color w:val="auto"/>
                <w:szCs w:val="28"/>
                <w:highlight w:val="none"/>
              </w:rPr>
              <w:t>3）基坑（槽）采用跳槽开挖，开挖槽段不宜大于15～20m；</w:t>
            </w:r>
            <w:r>
              <w:rPr>
                <w:rFonts w:hint="eastAsia" w:ascii="仿宋" w:hAnsi="仿宋" w:eastAsia="仿宋" w:cs="仿宋"/>
                <w:color w:val="auto"/>
                <w:szCs w:val="28"/>
                <w:highlight w:val="none"/>
              </w:rPr>
              <w:br w:type="textWrapping"/>
            </w:r>
            <w:r>
              <w:rPr>
                <w:rFonts w:hint="eastAsia" w:ascii="仿宋" w:hAnsi="仿宋" w:eastAsia="仿宋" w:cs="仿宋"/>
                <w:color w:val="auto"/>
                <w:szCs w:val="28"/>
                <w:highlight w:val="none"/>
              </w:rPr>
              <w:t>4）基坑开挖后，应及时组织验槽，验收通过后应及时浇筑基础及施作上部结构，及时回填压实基坑其余部位；顶管施工完成后，应及时施工排水井，并回填。</w:t>
            </w:r>
            <w:r>
              <w:rPr>
                <w:rFonts w:hint="eastAsia" w:ascii="仿宋" w:hAnsi="仿宋" w:eastAsia="仿宋" w:cs="仿宋"/>
                <w:color w:val="auto"/>
                <w:szCs w:val="28"/>
                <w:highlight w:val="none"/>
              </w:rPr>
              <w:br w:type="textWrapping"/>
            </w:r>
            <w:r>
              <w:rPr>
                <w:rFonts w:hint="eastAsia" w:ascii="仿宋" w:hAnsi="仿宋" w:eastAsia="仿宋" w:cs="仿宋"/>
                <w:color w:val="auto"/>
                <w:szCs w:val="28"/>
                <w:highlight w:val="none"/>
              </w:rPr>
              <w:t>5）基坑（槽）应避开雨天施工，并做好截排水设施，基坑（槽）底部不得有水体长期浸泡；</w:t>
            </w:r>
            <w:r>
              <w:rPr>
                <w:rFonts w:hint="eastAsia" w:ascii="仿宋" w:hAnsi="仿宋" w:eastAsia="仿宋" w:cs="仿宋"/>
                <w:color w:val="auto"/>
                <w:szCs w:val="28"/>
                <w:highlight w:val="none"/>
              </w:rPr>
              <w:br w:type="textWrapping"/>
            </w:r>
            <w:r>
              <w:rPr>
                <w:rFonts w:hint="eastAsia" w:ascii="仿宋" w:hAnsi="仿宋" w:eastAsia="仿宋" w:cs="仿宋"/>
                <w:color w:val="auto"/>
                <w:szCs w:val="28"/>
                <w:highlight w:val="none"/>
              </w:rPr>
              <w:t>6）做好基坑（槽）应急预案，基槽内应设置逃生设施，一旦发生险情，施工人员可以及时撤离；</w:t>
            </w:r>
            <w:r>
              <w:rPr>
                <w:rFonts w:hint="eastAsia" w:ascii="仿宋" w:hAnsi="仿宋" w:eastAsia="仿宋" w:cs="仿宋"/>
                <w:color w:val="auto"/>
                <w:szCs w:val="28"/>
                <w:highlight w:val="none"/>
              </w:rPr>
              <w:br w:type="textWrapping"/>
            </w:r>
            <w:r>
              <w:rPr>
                <w:rFonts w:hint="eastAsia" w:ascii="仿宋" w:hAnsi="仿宋" w:eastAsia="仿宋" w:cs="仿宋"/>
                <w:color w:val="auto"/>
                <w:szCs w:val="28"/>
                <w:highlight w:val="none"/>
              </w:rPr>
              <w:t>7）基坑（槽）周边不得堆土、不得有重型车辆通行。</w:t>
            </w:r>
          </w:p>
        </w:tc>
      </w:tr>
      <w:tr w14:paraId="2E059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07" w:type="pct"/>
            <w:vMerge w:val="continue"/>
            <w:vAlign w:val="center"/>
          </w:tcPr>
          <w:p w14:paraId="709D00E5">
            <w:pPr>
              <w:ind w:firstLine="0" w:firstLineChars="0"/>
              <w:jc w:val="center"/>
              <w:rPr>
                <w:rFonts w:hint="eastAsia" w:ascii="仿宋" w:hAnsi="仿宋" w:eastAsia="仿宋" w:cs="仿宋"/>
                <w:color w:val="auto"/>
                <w:szCs w:val="28"/>
                <w:highlight w:val="none"/>
              </w:rPr>
            </w:pPr>
          </w:p>
        </w:tc>
        <w:tc>
          <w:tcPr>
            <w:tcW w:w="812" w:type="pct"/>
            <w:vMerge w:val="continue"/>
            <w:vAlign w:val="center"/>
          </w:tcPr>
          <w:p w14:paraId="7C5A36DA">
            <w:pPr>
              <w:ind w:firstLine="0" w:firstLineChars="0"/>
              <w:jc w:val="center"/>
              <w:rPr>
                <w:rFonts w:hint="eastAsia" w:ascii="仿宋" w:hAnsi="仿宋" w:eastAsia="仿宋" w:cs="仿宋"/>
                <w:color w:val="auto"/>
                <w:szCs w:val="28"/>
                <w:highlight w:val="none"/>
              </w:rPr>
            </w:pPr>
          </w:p>
        </w:tc>
        <w:tc>
          <w:tcPr>
            <w:tcW w:w="711" w:type="pct"/>
            <w:vAlign w:val="center"/>
          </w:tcPr>
          <w:p w14:paraId="54F4E761">
            <w:pPr>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超过一定规模</w:t>
            </w:r>
          </w:p>
        </w:tc>
        <w:tc>
          <w:tcPr>
            <w:tcW w:w="1137" w:type="pct"/>
            <w:vAlign w:val="center"/>
          </w:tcPr>
          <w:p w14:paraId="6EB7A791">
            <w:pPr>
              <w:ind w:firstLine="0" w:firstLineChars="0"/>
              <w:jc w:val="left"/>
              <w:rPr>
                <w:rFonts w:hint="eastAsia" w:ascii="仿宋" w:hAnsi="仿宋" w:eastAsia="仿宋" w:cs="仿宋"/>
                <w:color w:val="auto"/>
                <w:szCs w:val="28"/>
                <w:highlight w:val="none"/>
              </w:rPr>
            </w:pPr>
            <w:r>
              <w:rPr>
                <w:rFonts w:hint="eastAsia" w:ascii="仿宋" w:hAnsi="仿宋" w:eastAsia="仿宋" w:cs="仿宋"/>
                <w:color w:val="auto"/>
                <w:szCs w:val="28"/>
                <w:highlight w:val="none"/>
              </w:rPr>
              <w:t>排水管井开挖深度超过5m（含5m）或未超过5m但地质条件和周边环境复杂的。</w:t>
            </w:r>
          </w:p>
        </w:tc>
        <w:tc>
          <w:tcPr>
            <w:tcW w:w="2033" w:type="pct"/>
            <w:vMerge w:val="continue"/>
            <w:vAlign w:val="center"/>
          </w:tcPr>
          <w:p w14:paraId="49899366">
            <w:pPr>
              <w:ind w:firstLine="0" w:firstLineChars="0"/>
              <w:jc w:val="left"/>
              <w:rPr>
                <w:rFonts w:hint="eastAsia" w:ascii="仿宋" w:hAnsi="仿宋" w:eastAsia="仿宋" w:cs="仿宋"/>
                <w:color w:val="auto"/>
                <w:szCs w:val="28"/>
                <w:highlight w:val="none"/>
              </w:rPr>
            </w:pPr>
          </w:p>
        </w:tc>
      </w:tr>
      <w:tr w14:paraId="52C53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07" w:type="pct"/>
            <w:vAlign w:val="center"/>
          </w:tcPr>
          <w:p w14:paraId="107ADF88">
            <w:pPr>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2</w:t>
            </w:r>
          </w:p>
        </w:tc>
        <w:tc>
          <w:tcPr>
            <w:tcW w:w="812" w:type="pct"/>
            <w:vAlign w:val="center"/>
          </w:tcPr>
          <w:p w14:paraId="3EEC6B8B">
            <w:pPr>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模板工程及支撑体系</w:t>
            </w:r>
          </w:p>
        </w:tc>
        <w:tc>
          <w:tcPr>
            <w:tcW w:w="711" w:type="pct"/>
            <w:vAlign w:val="center"/>
          </w:tcPr>
          <w:p w14:paraId="0219299B">
            <w:pPr>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普通</w:t>
            </w:r>
          </w:p>
        </w:tc>
        <w:tc>
          <w:tcPr>
            <w:tcW w:w="1137" w:type="pct"/>
            <w:vAlign w:val="center"/>
          </w:tcPr>
          <w:p w14:paraId="3BE9AEFA">
            <w:pPr>
              <w:ind w:firstLine="0" w:firstLineChars="0"/>
              <w:jc w:val="left"/>
              <w:rPr>
                <w:rFonts w:hint="eastAsia" w:ascii="仿宋" w:hAnsi="仿宋" w:eastAsia="仿宋" w:cs="仿宋"/>
                <w:color w:val="auto"/>
                <w:szCs w:val="28"/>
                <w:highlight w:val="none"/>
              </w:rPr>
            </w:pPr>
            <w:r>
              <w:rPr>
                <w:rFonts w:hint="eastAsia" w:ascii="仿宋" w:hAnsi="仿宋" w:eastAsia="仿宋" w:cs="仿宋"/>
                <w:color w:val="auto"/>
                <w:szCs w:val="28"/>
                <w:highlight w:val="none"/>
              </w:rPr>
              <w:t>模板搭设高度大于5m。</w:t>
            </w:r>
          </w:p>
        </w:tc>
        <w:tc>
          <w:tcPr>
            <w:tcW w:w="2033" w:type="pct"/>
            <w:vAlign w:val="center"/>
          </w:tcPr>
          <w:p w14:paraId="5A22CA79">
            <w:pPr>
              <w:ind w:firstLine="0" w:firstLineChars="0"/>
              <w:jc w:val="left"/>
              <w:rPr>
                <w:rFonts w:hint="eastAsia" w:ascii="仿宋" w:hAnsi="仿宋" w:eastAsia="仿宋" w:cs="仿宋"/>
                <w:color w:val="auto"/>
                <w:szCs w:val="28"/>
                <w:highlight w:val="none"/>
              </w:rPr>
            </w:pPr>
            <w:r>
              <w:rPr>
                <w:rFonts w:hint="eastAsia" w:ascii="仿宋" w:hAnsi="仿宋" w:eastAsia="仿宋" w:cs="仿宋"/>
                <w:color w:val="auto"/>
                <w:szCs w:val="28"/>
                <w:highlight w:val="none"/>
              </w:rPr>
              <w:t>严格按照施工技术要求规范施工</w:t>
            </w:r>
          </w:p>
        </w:tc>
      </w:tr>
      <w:tr w14:paraId="1B095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07" w:type="pct"/>
            <w:vAlign w:val="center"/>
          </w:tcPr>
          <w:p w14:paraId="4000153D">
            <w:pPr>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3</w:t>
            </w:r>
          </w:p>
        </w:tc>
        <w:tc>
          <w:tcPr>
            <w:tcW w:w="812" w:type="pct"/>
            <w:vAlign w:val="center"/>
          </w:tcPr>
          <w:p w14:paraId="75DD7B0C">
            <w:pPr>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起重吊装</w:t>
            </w:r>
            <w:r>
              <w:rPr>
                <w:rFonts w:hint="eastAsia" w:ascii="仿宋" w:hAnsi="仿宋" w:eastAsia="仿宋" w:cs="仿宋"/>
                <w:color w:val="auto"/>
                <w:szCs w:val="28"/>
                <w:highlight w:val="none"/>
              </w:rPr>
              <w:br w:type="textWrapping"/>
            </w:r>
            <w:r>
              <w:rPr>
                <w:rFonts w:hint="eastAsia" w:ascii="仿宋" w:hAnsi="仿宋" w:eastAsia="仿宋" w:cs="仿宋"/>
                <w:color w:val="auto"/>
                <w:szCs w:val="28"/>
                <w:highlight w:val="none"/>
              </w:rPr>
              <w:t>及安装拆卸工程</w:t>
            </w:r>
          </w:p>
        </w:tc>
        <w:tc>
          <w:tcPr>
            <w:tcW w:w="711" w:type="pct"/>
            <w:vAlign w:val="center"/>
          </w:tcPr>
          <w:p w14:paraId="21175B63">
            <w:pPr>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普通</w:t>
            </w:r>
          </w:p>
        </w:tc>
        <w:tc>
          <w:tcPr>
            <w:tcW w:w="1137" w:type="pct"/>
            <w:vAlign w:val="center"/>
          </w:tcPr>
          <w:p w14:paraId="6C331AA3">
            <w:pPr>
              <w:ind w:firstLine="0" w:firstLineChars="0"/>
              <w:jc w:val="left"/>
              <w:rPr>
                <w:rFonts w:hint="eastAsia" w:ascii="仿宋" w:hAnsi="仿宋" w:eastAsia="仿宋" w:cs="仿宋"/>
                <w:color w:val="auto"/>
                <w:szCs w:val="28"/>
                <w:highlight w:val="none"/>
              </w:rPr>
            </w:pPr>
            <w:r>
              <w:rPr>
                <w:rFonts w:hint="eastAsia" w:ascii="仿宋" w:hAnsi="仿宋" w:eastAsia="仿宋" w:cs="仿宋"/>
                <w:color w:val="auto"/>
                <w:szCs w:val="28"/>
                <w:highlight w:val="none"/>
              </w:rPr>
              <w:t>采用非常规起重设备、方法，且单件起吊重量在10kN及以上的起重吊装工程。</w:t>
            </w:r>
          </w:p>
        </w:tc>
        <w:tc>
          <w:tcPr>
            <w:tcW w:w="2033" w:type="pct"/>
            <w:vAlign w:val="center"/>
          </w:tcPr>
          <w:p w14:paraId="3616E953">
            <w:pPr>
              <w:ind w:firstLine="0" w:firstLineChars="0"/>
              <w:jc w:val="left"/>
              <w:rPr>
                <w:rFonts w:hint="eastAsia" w:ascii="仿宋" w:hAnsi="仿宋" w:eastAsia="仿宋" w:cs="仿宋"/>
                <w:color w:val="auto"/>
                <w:szCs w:val="28"/>
                <w:highlight w:val="none"/>
              </w:rPr>
            </w:pPr>
            <w:r>
              <w:rPr>
                <w:rFonts w:hint="eastAsia" w:ascii="仿宋" w:hAnsi="仿宋" w:eastAsia="仿宋" w:cs="仿宋"/>
                <w:color w:val="auto"/>
                <w:szCs w:val="28"/>
                <w:highlight w:val="none"/>
              </w:rPr>
              <w:t>严格按照施工技术要求规范施工</w:t>
            </w:r>
          </w:p>
        </w:tc>
      </w:tr>
      <w:tr w14:paraId="7940A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5" w:hRule="atLeast"/>
          <w:jc w:val="center"/>
        </w:trPr>
        <w:tc>
          <w:tcPr>
            <w:tcW w:w="307" w:type="pct"/>
            <w:vAlign w:val="center"/>
          </w:tcPr>
          <w:p w14:paraId="118DB763">
            <w:pPr>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4</w:t>
            </w:r>
          </w:p>
        </w:tc>
        <w:tc>
          <w:tcPr>
            <w:tcW w:w="812" w:type="pct"/>
            <w:vAlign w:val="center"/>
          </w:tcPr>
          <w:p w14:paraId="4B7014F3">
            <w:pPr>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暗挖工程</w:t>
            </w:r>
          </w:p>
        </w:tc>
        <w:tc>
          <w:tcPr>
            <w:tcW w:w="711" w:type="pct"/>
            <w:vAlign w:val="center"/>
          </w:tcPr>
          <w:p w14:paraId="2AC658C1">
            <w:pPr>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普通</w:t>
            </w:r>
          </w:p>
        </w:tc>
        <w:tc>
          <w:tcPr>
            <w:tcW w:w="1137" w:type="pct"/>
            <w:vAlign w:val="center"/>
          </w:tcPr>
          <w:p w14:paraId="5FABCE97">
            <w:pPr>
              <w:ind w:firstLine="0" w:firstLineChars="0"/>
              <w:jc w:val="left"/>
              <w:rPr>
                <w:rFonts w:hint="eastAsia" w:ascii="仿宋" w:hAnsi="仿宋" w:eastAsia="仿宋" w:cs="仿宋"/>
                <w:color w:val="auto"/>
                <w:szCs w:val="28"/>
                <w:highlight w:val="none"/>
              </w:rPr>
            </w:pPr>
            <w:r>
              <w:rPr>
                <w:rFonts w:hint="eastAsia" w:ascii="仿宋" w:hAnsi="仿宋" w:eastAsia="仿宋" w:cs="仿宋"/>
                <w:color w:val="auto"/>
                <w:szCs w:val="28"/>
                <w:highlight w:val="none"/>
              </w:rPr>
              <w:t>本工程无采用顶管法施工的洞室工程。</w:t>
            </w:r>
          </w:p>
        </w:tc>
        <w:tc>
          <w:tcPr>
            <w:tcW w:w="2033" w:type="pct"/>
          </w:tcPr>
          <w:p w14:paraId="56CB66E0">
            <w:pPr>
              <w:ind w:firstLine="0" w:firstLineChars="0"/>
              <w:jc w:val="left"/>
              <w:rPr>
                <w:rFonts w:hint="eastAsia" w:ascii="仿宋" w:hAnsi="仿宋" w:eastAsia="仿宋" w:cs="仿宋"/>
                <w:color w:val="auto"/>
                <w:szCs w:val="28"/>
                <w:highlight w:val="none"/>
              </w:rPr>
            </w:pPr>
            <w:r>
              <w:rPr>
                <w:rFonts w:hint="eastAsia" w:ascii="仿宋" w:hAnsi="仿宋" w:eastAsia="仿宋" w:cs="仿宋"/>
                <w:color w:val="auto"/>
                <w:szCs w:val="28"/>
                <w:highlight w:val="none"/>
              </w:rPr>
              <w:t>1）施工单位应根据相关规范法规编制安全专项施工方案，通过安全审查后方可实施；</w:t>
            </w:r>
          </w:p>
          <w:p w14:paraId="71ACA9D2">
            <w:pPr>
              <w:ind w:firstLine="0" w:firstLineChars="0"/>
              <w:jc w:val="left"/>
              <w:rPr>
                <w:rFonts w:hint="eastAsia" w:ascii="仿宋" w:hAnsi="仿宋" w:eastAsia="仿宋" w:cs="仿宋"/>
                <w:color w:val="auto"/>
                <w:szCs w:val="28"/>
                <w:highlight w:val="none"/>
              </w:rPr>
            </w:pPr>
            <w:r>
              <w:rPr>
                <w:rFonts w:hint="eastAsia" w:ascii="仿宋" w:hAnsi="仿宋" w:eastAsia="仿宋" w:cs="仿宋"/>
                <w:color w:val="auto"/>
                <w:szCs w:val="28"/>
                <w:highlight w:val="none"/>
              </w:rPr>
              <w:t>2）施工前应探明沿线地下管线构筑物等，并采取相关措施进行处理，保证通讯、电力、上水、排水、煤气等其它管线的安全运营；</w:t>
            </w:r>
          </w:p>
          <w:p w14:paraId="46FE7966">
            <w:pPr>
              <w:ind w:firstLine="0" w:firstLineChars="0"/>
              <w:jc w:val="left"/>
              <w:rPr>
                <w:rFonts w:hint="eastAsia" w:ascii="仿宋" w:hAnsi="仿宋" w:eastAsia="仿宋" w:cs="仿宋"/>
                <w:color w:val="auto"/>
                <w:szCs w:val="28"/>
                <w:highlight w:val="none"/>
              </w:rPr>
            </w:pPr>
            <w:r>
              <w:rPr>
                <w:rFonts w:hint="eastAsia" w:ascii="仿宋" w:hAnsi="仿宋" w:eastAsia="仿宋" w:cs="仿宋"/>
                <w:color w:val="auto"/>
                <w:szCs w:val="28"/>
                <w:highlight w:val="none"/>
              </w:rPr>
              <w:t>3）有人员在顶管内操作时，需定时监测管内有毒有害气体含量，并采取相关措施进行处理；</w:t>
            </w:r>
          </w:p>
          <w:p w14:paraId="0AEE216A">
            <w:pPr>
              <w:ind w:firstLine="0" w:firstLineChars="0"/>
              <w:jc w:val="left"/>
              <w:rPr>
                <w:rFonts w:hint="eastAsia" w:ascii="仿宋" w:hAnsi="仿宋" w:eastAsia="仿宋" w:cs="仿宋"/>
                <w:color w:val="auto"/>
                <w:szCs w:val="28"/>
                <w:highlight w:val="none"/>
              </w:rPr>
            </w:pPr>
            <w:r>
              <w:rPr>
                <w:rFonts w:hint="eastAsia" w:ascii="仿宋" w:hAnsi="仿宋" w:eastAsia="仿宋" w:cs="仿宋"/>
                <w:color w:val="auto"/>
                <w:szCs w:val="28"/>
                <w:highlight w:val="none"/>
              </w:rPr>
              <w:t>4）汛期施工，应做好防汛防台工作，尤其是要防止井内进水，机头被淹、停电等情况的发生；</w:t>
            </w:r>
          </w:p>
        </w:tc>
      </w:tr>
      <w:tr w14:paraId="63FE8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07" w:type="pct"/>
            <w:vAlign w:val="center"/>
          </w:tcPr>
          <w:p w14:paraId="459E7968">
            <w:pPr>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5</w:t>
            </w:r>
          </w:p>
        </w:tc>
        <w:tc>
          <w:tcPr>
            <w:tcW w:w="812" w:type="pct"/>
            <w:vAlign w:val="center"/>
          </w:tcPr>
          <w:p w14:paraId="4D640721">
            <w:pPr>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非开挖修复</w:t>
            </w:r>
          </w:p>
        </w:tc>
        <w:tc>
          <w:tcPr>
            <w:tcW w:w="711" w:type="pct"/>
            <w:vAlign w:val="center"/>
          </w:tcPr>
          <w:p w14:paraId="4B12FB69">
            <w:pPr>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普通</w:t>
            </w:r>
          </w:p>
        </w:tc>
        <w:tc>
          <w:tcPr>
            <w:tcW w:w="1137" w:type="pct"/>
            <w:vAlign w:val="center"/>
          </w:tcPr>
          <w:p w14:paraId="772B8FFE">
            <w:pPr>
              <w:ind w:firstLine="0" w:firstLineChars="0"/>
              <w:jc w:val="left"/>
              <w:rPr>
                <w:rFonts w:hint="eastAsia" w:ascii="仿宋" w:hAnsi="仿宋" w:eastAsia="仿宋" w:cs="仿宋"/>
                <w:color w:val="auto"/>
                <w:szCs w:val="28"/>
                <w:highlight w:val="none"/>
              </w:rPr>
            </w:pPr>
            <w:r>
              <w:rPr>
                <w:rFonts w:hint="eastAsia" w:ascii="仿宋" w:hAnsi="仿宋" w:eastAsia="仿宋" w:cs="仿宋"/>
                <w:color w:val="auto"/>
                <w:szCs w:val="28"/>
                <w:highlight w:val="none"/>
              </w:rPr>
              <w:t>高度超过3m（含3m）或虽未超过3m或深度超过5m（含5m）或未超过5m但地质条件和周边环境复杂的。</w:t>
            </w:r>
          </w:p>
        </w:tc>
        <w:tc>
          <w:tcPr>
            <w:tcW w:w="2033" w:type="pct"/>
          </w:tcPr>
          <w:p w14:paraId="7537A0C6">
            <w:pPr>
              <w:ind w:firstLine="0" w:firstLineChars="0"/>
              <w:jc w:val="left"/>
              <w:rPr>
                <w:rFonts w:hint="eastAsia" w:ascii="仿宋" w:hAnsi="仿宋" w:eastAsia="仿宋" w:cs="仿宋"/>
                <w:color w:val="auto"/>
                <w:szCs w:val="28"/>
                <w:highlight w:val="none"/>
              </w:rPr>
            </w:pPr>
            <w:r>
              <w:rPr>
                <w:rFonts w:hint="eastAsia" w:ascii="仿宋" w:hAnsi="仿宋" w:eastAsia="仿宋" w:cs="仿宋"/>
                <w:color w:val="auto"/>
                <w:szCs w:val="28"/>
                <w:highlight w:val="none"/>
              </w:rPr>
              <w:t>1）施工单位应根据相关规范法规编制安全专项施工方案，通过安全审查后方可实施；</w:t>
            </w:r>
          </w:p>
          <w:p w14:paraId="0A3B21A8">
            <w:pPr>
              <w:ind w:firstLine="0" w:firstLineChars="0"/>
              <w:jc w:val="left"/>
              <w:rPr>
                <w:rFonts w:hint="eastAsia" w:ascii="仿宋" w:hAnsi="仿宋" w:eastAsia="仿宋" w:cs="仿宋"/>
                <w:color w:val="auto"/>
                <w:szCs w:val="28"/>
                <w:highlight w:val="none"/>
              </w:rPr>
            </w:pPr>
            <w:r>
              <w:rPr>
                <w:rFonts w:hint="eastAsia" w:ascii="仿宋" w:hAnsi="仿宋" w:eastAsia="仿宋" w:cs="仿宋"/>
                <w:color w:val="auto"/>
                <w:szCs w:val="28"/>
                <w:highlight w:val="none"/>
              </w:rPr>
              <w:t>2）有人员在井内操作时，需定时监测管内有毒有害气体含量，并采取相关措施进行处理；</w:t>
            </w:r>
          </w:p>
        </w:tc>
      </w:tr>
      <w:tr w14:paraId="298D8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07" w:type="pct"/>
            <w:vAlign w:val="center"/>
          </w:tcPr>
          <w:p w14:paraId="5A386ADD">
            <w:pPr>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6</w:t>
            </w:r>
          </w:p>
        </w:tc>
        <w:tc>
          <w:tcPr>
            <w:tcW w:w="812" w:type="pct"/>
            <w:vAlign w:val="center"/>
          </w:tcPr>
          <w:p w14:paraId="76B504AB">
            <w:pPr>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管道吊装</w:t>
            </w:r>
          </w:p>
        </w:tc>
        <w:tc>
          <w:tcPr>
            <w:tcW w:w="711" w:type="pct"/>
            <w:vAlign w:val="center"/>
          </w:tcPr>
          <w:p w14:paraId="43619490">
            <w:pPr>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普通</w:t>
            </w:r>
          </w:p>
        </w:tc>
        <w:tc>
          <w:tcPr>
            <w:tcW w:w="1137" w:type="pct"/>
            <w:vAlign w:val="center"/>
          </w:tcPr>
          <w:p w14:paraId="251C282B">
            <w:pPr>
              <w:ind w:firstLine="0" w:firstLineChars="0"/>
              <w:jc w:val="left"/>
              <w:rPr>
                <w:rFonts w:hint="eastAsia" w:ascii="仿宋" w:hAnsi="仿宋" w:eastAsia="仿宋" w:cs="仿宋"/>
                <w:color w:val="auto"/>
                <w:szCs w:val="28"/>
                <w:highlight w:val="none"/>
              </w:rPr>
            </w:pPr>
            <w:r>
              <w:rPr>
                <w:rFonts w:hint="eastAsia" w:ascii="仿宋" w:hAnsi="仿宋" w:eastAsia="仿宋" w:cs="仿宋"/>
                <w:color w:val="auto"/>
                <w:szCs w:val="28"/>
                <w:highlight w:val="none"/>
              </w:rPr>
              <w:t>深度超过5m（含5m）或未超过5m但地质条件和周边环境复杂的。</w:t>
            </w:r>
          </w:p>
        </w:tc>
        <w:tc>
          <w:tcPr>
            <w:tcW w:w="2033" w:type="pct"/>
          </w:tcPr>
          <w:p w14:paraId="668F47FD">
            <w:pPr>
              <w:ind w:firstLine="0" w:firstLineChars="0"/>
              <w:jc w:val="left"/>
              <w:rPr>
                <w:rFonts w:hint="eastAsia" w:ascii="仿宋" w:hAnsi="仿宋" w:eastAsia="仿宋" w:cs="仿宋"/>
                <w:color w:val="auto"/>
                <w:szCs w:val="28"/>
                <w:highlight w:val="none"/>
              </w:rPr>
            </w:pPr>
            <w:r>
              <w:rPr>
                <w:rFonts w:hint="eastAsia" w:ascii="仿宋" w:hAnsi="仿宋" w:eastAsia="仿宋" w:cs="仿宋"/>
                <w:color w:val="auto"/>
                <w:szCs w:val="28"/>
                <w:highlight w:val="none"/>
              </w:rPr>
              <w:t>1）施工单位应根据相关规范法规编制安全专项施工方案，通过安全审查后方可实施；</w:t>
            </w:r>
          </w:p>
          <w:p w14:paraId="01580FC0">
            <w:pPr>
              <w:ind w:firstLine="0" w:firstLineChars="0"/>
              <w:jc w:val="left"/>
              <w:rPr>
                <w:rFonts w:hint="eastAsia" w:ascii="仿宋" w:hAnsi="仿宋" w:eastAsia="仿宋" w:cs="仿宋"/>
                <w:color w:val="auto"/>
                <w:szCs w:val="28"/>
                <w:highlight w:val="none"/>
              </w:rPr>
            </w:pPr>
          </w:p>
        </w:tc>
      </w:tr>
      <w:tr w14:paraId="08F24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07" w:type="pct"/>
            <w:vAlign w:val="center"/>
          </w:tcPr>
          <w:p w14:paraId="000572C0">
            <w:pPr>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7</w:t>
            </w:r>
          </w:p>
        </w:tc>
        <w:tc>
          <w:tcPr>
            <w:tcW w:w="812" w:type="pct"/>
            <w:vAlign w:val="center"/>
          </w:tcPr>
          <w:p w14:paraId="32104CCF">
            <w:pPr>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管线保护与迁改</w:t>
            </w:r>
          </w:p>
        </w:tc>
        <w:tc>
          <w:tcPr>
            <w:tcW w:w="711" w:type="pct"/>
            <w:vAlign w:val="center"/>
          </w:tcPr>
          <w:p w14:paraId="53B67A55">
            <w:pPr>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普通</w:t>
            </w:r>
          </w:p>
        </w:tc>
        <w:tc>
          <w:tcPr>
            <w:tcW w:w="1137" w:type="pct"/>
            <w:vAlign w:val="center"/>
          </w:tcPr>
          <w:p w14:paraId="71834D6E">
            <w:pPr>
              <w:ind w:firstLine="0" w:firstLineChars="0"/>
              <w:jc w:val="left"/>
              <w:rPr>
                <w:rFonts w:hint="eastAsia" w:ascii="仿宋" w:hAnsi="仿宋" w:eastAsia="仿宋" w:cs="仿宋"/>
                <w:color w:val="auto"/>
                <w:szCs w:val="28"/>
                <w:highlight w:val="none"/>
              </w:rPr>
            </w:pPr>
            <w:r>
              <w:rPr>
                <w:rFonts w:hint="eastAsia" w:ascii="仿宋" w:hAnsi="仿宋" w:eastAsia="仿宋" w:cs="仿宋"/>
                <w:color w:val="auto"/>
                <w:szCs w:val="28"/>
                <w:highlight w:val="none"/>
              </w:rPr>
              <w:t>高度超过3m（含3m）或虽未超过3m但地质条件和周边环境复杂的。</w:t>
            </w:r>
          </w:p>
        </w:tc>
        <w:tc>
          <w:tcPr>
            <w:tcW w:w="2033" w:type="pct"/>
          </w:tcPr>
          <w:p w14:paraId="0E820E06">
            <w:pPr>
              <w:ind w:firstLine="0" w:firstLineChars="0"/>
              <w:jc w:val="left"/>
              <w:rPr>
                <w:rFonts w:hint="eastAsia" w:ascii="仿宋" w:hAnsi="仿宋" w:eastAsia="仿宋" w:cs="仿宋"/>
                <w:color w:val="auto"/>
                <w:szCs w:val="28"/>
                <w:highlight w:val="none"/>
              </w:rPr>
            </w:pPr>
            <w:r>
              <w:rPr>
                <w:rFonts w:hint="eastAsia" w:ascii="仿宋" w:hAnsi="仿宋" w:eastAsia="仿宋" w:cs="仿宋"/>
                <w:color w:val="auto"/>
                <w:szCs w:val="28"/>
                <w:highlight w:val="none"/>
              </w:rPr>
              <w:t>1）施工单位应根据相关规范法规编制安全专项施工方案，通过安全审查后方可实施；</w:t>
            </w:r>
          </w:p>
          <w:p w14:paraId="7260B793">
            <w:pPr>
              <w:ind w:firstLine="0" w:firstLineChars="0"/>
              <w:jc w:val="left"/>
              <w:rPr>
                <w:rFonts w:hint="eastAsia" w:ascii="仿宋" w:hAnsi="仿宋" w:eastAsia="仿宋" w:cs="仿宋"/>
                <w:color w:val="auto"/>
                <w:szCs w:val="28"/>
                <w:highlight w:val="none"/>
              </w:rPr>
            </w:pPr>
          </w:p>
        </w:tc>
      </w:tr>
      <w:tr w14:paraId="42C88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07" w:type="pct"/>
            <w:vAlign w:val="center"/>
          </w:tcPr>
          <w:p w14:paraId="7BC7D92D">
            <w:pPr>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8</w:t>
            </w:r>
          </w:p>
        </w:tc>
        <w:tc>
          <w:tcPr>
            <w:tcW w:w="812" w:type="pct"/>
            <w:vAlign w:val="center"/>
          </w:tcPr>
          <w:p w14:paraId="2D70EBED">
            <w:pPr>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地下建筑物基础影响</w:t>
            </w:r>
          </w:p>
        </w:tc>
        <w:tc>
          <w:tcPr>
            <w:tcW w:w="711" w:type="pct"/>
            <w:vAlign w:val="center"/>
          </w:tcPr>
          <w:p w14:paraId="1542CA0F">
            <w:pPr>
              <w:ind w:firstLine="0" w:firstLineChars="0"/>
              <w:jc w:val="center"/>
              <w:rPr>
                <w:rFonts w:hint="eastAsia" w:ascii="仿宋" w:hAnsi="仿宋" w:eastAsia="仿宋" w:cs="仿宋"/>
                <w:color w:val="auto"/>
                <w:szCs w:val="28"/>
                <w:highlight w:val="none"/>
              </w:rPr>
            </w:pPr>
            <w:r>
              <w:rPr>
                <w:rFonts w:hint="eastAsia" w:ascii="仿宋" w:hAnsi="仿宋" w:eastAsia="仿宋" w:cs="仿宋"/>
                <w:color w:val="auto"/>
                <w:szCs w:val="28"/>
                <w:highlight w:val="none"/>
              </w:rPr>
              <w:t>普通</w:t>
            </w:r>
          </w:p>
        </w:tc>
        <w:tc>
          <w:tcPr>
            <w:tcW w:w="1137" w:type="pct"/>
            <w:vAlign w:val="center"/>
          </w:tcPr>
          <w:p w14:paraId="0AAF0215">
            <w:pPr>
              <w:ind w:firstLine="0" w:firstLineChars="0"/>
              <w:jc w:val="left"/>
              <w:rPr>
                <w:rFonts w:hint="eastAsia" w:ascii="仿宋" w:hAnsi="仿宋" w:eastAsia="仿宋" w:cs="仿宋"/>
                <w:color w:val="auto"/>
                <w:szCs w:val="28"/>
                <w:highlight w:val="none"/>
              </w:rPr>
            </w:pPr>
            <w:r>
              <w:rPr>
                <w:rFonts w:hint="eastAsia" w:ascii="仿宋" w:hAnsi="仿宋" w:eastAsia="仿宋" w:cs="仿宋"/>
                <w:color w:val="auto"/>
                <w:szCs w:val="28"/>
                <w:highlight w:val="none"/>
              </w:rPr>
              <w:t>高度超过3m（含3m）或虽未超过3m或深度超过5m（含5m）或未超过5m但地质条件和周边环境复杂的。</w:t>
            </w:r>
          </w:p>
        </w:tc>
        <w:tc>
          <w:tcPr>
            <w:tcW w:w="2033" w:type="pct"/>
          </w:tcPr>
          <w:p w14:paraId="74E889E2">
            <w:pPr>
              <w:ind w:firstLine="0" w:firstLineChars="0"/>
              <w:jc w:val="left"/>
              <w:rPr>
                <w:rFonts w:hint="eastAsia" w:ascii="仿宋" w:hAnsi="仿宋" w:eastAsia="仿宋" w:cs="仿宋"/>
                <w:color w:val="auto"/>
                <w:szCs w:val="28"/>
                <w:highlight w:val="none"/>
              </w:rPr>
            </w:pPr>
            <w:r>
              <w:rPr>
                <w:rFonts w:hint="eastAsia" w:ascii="仿宋" w:hAnsi="仿宋" w:eastAsia="仿宋" w:cs="仿宋"/>
                <w:color w:val="auto"/>
                <w:szCs w:val="28"/>
                <w:highlight w:val="none"/>
              </w:rPr>
              <w:t>1）施工单位应根据相关规范法规编制安全专项施工方案，通过安全审查后方可实施；</w:t>
            </w:r>
          </w:p>
          <w:p w14:paraId="628AC87B">
            <w:pPr>
              <w:ind w:firstLine="0" w:firstLineChars="0"/>
              <w:jc w:val="left"/>
              <w:rPr>
                <w:rFonts w:hint="eastAsia" w:ascii="仿宋" w:hAnsi="仿宋" w:eastAsia="仿宋" w:cs="仿宋"/>
                <w:color w:val="auto"/>
                <w:szCs w:val="28"/>
                <w:highlight w:val="none"/>
              </w:rPr>
            </w:pPr>
            <w:r>
              <w:rPr>
                <w:rFonts w:hint="eastAsia" w:ascii="仿宋" w:hAnsi="仿宋" w:eastAsia="仿宋" w:cs="仿宋"/>
                <w:color w:val="auto"/>
                <w:szCs w:val="28"/>
                <w:highlight w:val="none"/>
              </w:rPr>
              <w:t>2）施工前应探明沿线地下管线构筑物等情况，并采取相关措施进行处理，保证地下建筑物基础安全；</w:t>
            </w:r>
          </w:p>
        </w:tc>
      </w:tr>
    </w:tbl>
    <w:p w14:paraId="496FF214">
      <w:pPr>
        <w:ind w:firstLine="700" w:firstLineChars="250"/>
        <w:rPr>
          <w:rFonts w:hint="eastAsia" w:ascii="仿宋" w:hAnsi="仿宋" w:eastAsia="仿宋" w:cs="仿宋"/>
          <w:color w:val="auto"/>
          <w:szCs w:val="28"/>
          <w:highlight w:val="none"/>
        </w:rPr>
      </w:pPr>
      <w:bookmarkStart w:id="83" w:name="_Toc63326464"/>
      <w:r>
        <w:rPr>
          <w:rFonts w:hint="eastAsia" w:ascii="仿宋" w:hAnsi="仿宋" w:eastAsia="仿宋" w:cs="仿宋"/>
          <w:color w:val="auto"/>
          <w:szCs w:val="28"/>
          <w:highlight w:val="none"/>
        </w:rPr>
        <w:t>以上危大工程未包含的项目，由施工单位根据工程实际补充完善。此外，施工单位应对工程全线进行排查，补充完善遗漏的危大工程重点部位及环节。</w:t>
      </w:r>
    </w:p>
    <w:p w14:paraId="07B8165D">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根据《重庆市住房和城乡建设委员会关于进一步加强城镇排水与污水处理领域有限空间作业安全管理工作的通知》，对现状检查井、化粪池、现状箱涵等有限空间作业中，可能造成伤害的气体毒气、缺氧窒息、物质爆炸、高温中暑等有限空间作业情况，应全面识别和分析危险源，并严格按照应急管理部办公厅印发的《有限空间作业安全指导手册和4个专题系列折页的通知》（应急厅函[2020]299号）要求，做好有限空间作业的风险防控与应急救援的相关措施。</w:t>
      </w:r>
    </w:p>
    <w:p w14:paraId="4B1FB84D">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1</w:t>
      </w:r>
      <w:r>
        <w:rPr>
          <w:rFonts w:hint="eastAsia" w:ascii="仿宋" w:hAnsi="仿宋" w:eastAsia="仿宋" w:cs="仿宋"/>
          <w:b/>
          <w:color w:val="auto"/>
          <w:szCs w:val="28"/>
          <w:highlight w:val="none"/>
          <w:lang w:val="en-US" w:eastAsia="zh-CN"/>
        </w:rPr>
        <w:t>2.2</w:t>
      </w:r>
      <w:r>
        <w:rPr>
          <w:rFonts w:hint="eastAsia" w:ascii="仿宋" w:hAnsi="仿宋" w:eastAsia="仿宋" w:cs="仿宋"/>
          <w:b/>
          <w:color w:val="auto"/>
          <w:szCs w:val="28"/>
          <w:highlight w:val="none"/>
        </w:rPr>
        <w:t>有限空间作业安全管理</w:t>
      </w:r>
    </w:p>
    <w:p w14:paraId="1A0DC422">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本次设计项目埋深较大，存在基坑开挖（深度超过3m）、沟槽开挖（深度超过3m），实施过程中可能存在地下水涌出、坍塌、有毒有害气体、触电、爆炸等危险源和风险。</w:t>
      </w:r>
    </w:p>
    <w:p w14:paraId="3E989DC7">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根据《重庆市住房和城乡建设委员会关于进一步加强城镇排水与污水处理领域有限空间作业安全管理工作的通知》（重庆市住房和城乡建设委员会，2022年3月24号），工程实施中参建各方应强化安全事故防范意识，建设单位需加强安全文明施工管理，开展安全检查，参与危险性较大分步分项工程管理、风险等级管控和隐患排查治理等重点工作。</w:t>
      </w:r>
    </w:p>
    <w:p w14:paraId="100ECC34">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根据通知要求，施工单位施工前要全面识别和分析危险源，对可能造成气体毒害、缺氧窒息、坍塌碾压、物质燃爆、触电、机械伤害、高温中暑等，要有针对性的制定安全作业方案，严格落实安全作业流程和遵守制度。同时，应制定应急救援预案，配备必要的应急防护措施，加强现场安全监护，发生意外时，要按照应急预案和应急演练内容科学施救，杜绝盲目救援。</w:t>
      </w:r>
    </w:p>
    <w:p w14:paraId="3C9143B0">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事故现场不具备自主救援条件时，应及时拨打119和120,依靠专业救援力最开展救援工作，决不允许未经培训、未佩戴个体防护装备的人员强行施救。</w:t>
      </w:r>
    </w:p>
    <w:p w14:paraId="236150FA">
      <w:pPr>
        <w:ind w:firstLine="700" w:firstLineChars="250"/>
        <w:rPr>
          <w:rFonts w:hint="eastAsia" w:ascii="仿宋" w:hAnsi="仿宋" w:eastAsia="仿宋" w:cs="仿宋"/>
          <w:color w:val="auto"/>
          <w:szCs w:val="28"/>
          <w:highlight w:val="none"/>
        </w:rPr>
      </w:pPr>
    </w:p>
    <w:p w14:paraId="197DA879">
      <w:pPr>
        <w:adjustRightInd w:val="0"/>
        <w:snapToGrid w:val="0"/>
        <w:ind w:firstLine="562"/>
        <w:outlineLvl w:val="1"/>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1</w:t>
      </w:r>
      <w:r>
        <w:rPr>
          <w:rFonts w:hint="eastAsia" w:ascii="仿宋" w:hAnsi="仿宋" w:eastAsia="仿宋" w:cs="仿宋"/>
          <w:b/>
          <w:color w:val="auto"/>
          <w:szCs w:val="28"/>
          <w:highlight w:val="none"/>
          <w:lang w:val="en-US" w:eastAsia="zh-CN"/>
        </w:rPr>
        <w:t>2.3</w:t>
      </w:r>
      <w:r>
        <w:rPr>
          <w:rFonts w:hint="eastAsia" w:ascii="仿宋" w:hAnsi="仿宋" w:eastAsia="仿宋" w:cs="仿宋"/>
          <w:b/>
          <w:color w:val="auto"/>
          <w:szCs w:val="28"/>
          <w:highlight w:val="none"/>
        </w:rPr>
        <w:t>危大工程施工注意事项</w:t>
      </w:r>
      <w:bookmarkEnd w:id="83"/>
    </w:p>
    <w:p w14:paraId="2E84653F">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1）本次设计的明挖基坑边坡、钢管桩支护基坑施工时应</w:t>
      </w:r>
      <w:r>
        <w:rPr>
          <w:rFonts w:hint="eastAsia" w:ascii="仿宋" w:hAnsi="仿宋" w:eastAsia="仿宋" w:cs="仿宋"/>
          <w:b/>
          <w:color w:val="auto"/>
          <w:szCs w:val="28"/>
          <w:highlight w:val="none"/>
        </w:rPr>
        <w:t>严格按照逆作法施工要求</w:t>
      </w:r>
      <w:r>
        <w:rPr>
          <w:rFonts w:hint="eastAsia" w:ascii="仿宋" w:hAnsi="仿宋" w:eastAsia="仿宋" w:cs="仿宋"/>
          <w:color w:val="auto"/>
          <w:szCs w:val="28"/>
          <w:highlight w:val="none"/>
        </w:rPr>
        <w:t>进行施工。</w:t>
      </w:r>
    </w:p>
    <w:p w14:paraId="54342BFE">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2）本设计采用</w:t>
      </w:r>
      <w:r>
        <w:rPr>
          <w:rFonts w:hint="eastAsia" w:ascii="仿宋" w:hAnsi="仿宋" w:eastAsia="仿宋" w:cs="仿宋"/>
          <w:b/>
          <w:color w:val="auto"/>
          <w:szCs w:val="28"/>
          <w:highlight w:val="none"/>
        </w:rPr>
        <w:t>动态法设计，信息法施工</w:t>
      </w:r>
      <w:r>
        <w:rPr>
          <w:rFonts w:hint="eastAsia" w:ascii="仿宋" w:hAnsi="仿宋" w:eastAsia="仿宋" w:cs="仿宋"/>
          <w:color w:val="auto"/>
          <w:szCs w:val="28"/>
          <w:highlight w:val="none"/>
        </w:rPr>
        <w:t>，并加强施工过程中地质验槽验收工作。当施工中出现与设计不符的情况时，应及时通知设计人员，并会同有关单位协商解决，任何设计变更，均以正式书面文件为准。</w:t>
      </w:r>
    </w:p>
    <w:p w14:paraId="474BDC44">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3）施工过程中严格按信息法施工的要求作好信息资料的收集、边坡的监测等工作，建立完善的信息反馈制度，及时向业主、监理和设计通报，以便及时根据施工中的各种信息、资料对设计进行调整处理，确保边坡加固处理的安全性与可靠度和经济性。</w:t>
      </w:r>
    </w:p>
    <w:p w14:paraId="3928876B">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4）为确保施工质量，应选择有相应资质的专业施工队伍施工。</w:t>
      </w:r>
    </w:p>
    <w:p w14:paraId="4026D2C0">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5）严禁雨季施工，严禁大断面全面开挖，施工必须采用跳槽间隔施工，施工期间必须加强监测，一旦坡体出现变形，应立即回填反压；在变形强烈的地段应采用从两端逐渐向中间推进的施工工序。</w:t>
      </w:r>
    </w:p>
    <w:p w14:paraId="66F0C81C">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6）工程施工中的隐蔽工程，应及时通知、组织有关各方进行检查验收。</w:t>
      </w:r>
    </w:p>
    <w:p w14:paraId="1B4E9D06">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7）由于实际地质、地形资料与设计可能会有出入，因此实际施工过程中的工程数量可能与设计数量略有出入，施工计量应以实际发生数量为准。</w:t>
      </w:r>
    </w:p>
    <w:p w14:paraId="1B974FC9">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8）应在施工作业区设置必要的安全警示标牌等安全防护设施。</w:t>
      </w:r>
    </w:p>
    <w:p w14:paraId="7E8986DE">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9）边坡坡顶应根据现场实际情况设置安全防护网。</w:t>
      </w:r>
    </w:p>
    <w:p w14:paraId="69579152">
      <w:pPr>
        <w:ind w:firstLine="700" w:firstLineChars="250"/>
        <w:rPr>
          <w:rFonts w:hint="eastAsia" w:ascii="仿宋" w:hAnsi="仿宋" w:eastAsia="仿宋" w:cs="仿宋"/>
          <w:color w:val="auto"/>
          <w:szCs w:val="28"/>
          <w:highlight w:val="none"/>
        </w:rPr>
      </w:pPr>
      <w:r>
        <w:rPr>
          <w:rFonts w:ascii="仿宋" w:hAnsi="仿宋" w:eastAsia="仿宋" w:cs="仿宋"/>
          <w:color w:val="auto"/>
          <w:szCs w:val="28"/>
          <w:highlight w:val="none"/>
        </w:rPr>
        <w:t>10</w:t>
      </w:r>
      <w:r>
        <w:rPr>
          <w:rFonts w:hint="eastAsia" w:ascii="仿宋" w:hAnsi="仿宋" w:eastAsia="仿宋" w:cs="仿宋"/>
          <w:color w:val="auto"/>
          <w:szCs w:val="28"/>
          <w:highlight w:val="none"/>
        </w:rPr>
        <w:t>）根据重庆市住房和城乡建设委员会颁发的《重庆市建设领域禁止、限制使用落后技术通告（2019年版）》及其精神，本设计优先采用国家推广的建材及施工技术。</w:t>
      </w:r>
    </w:p>
    <w:p w14:paraId="2762CE6E">
      <w:pPr>
        <w:ind w:firstLine="700" w:firstLineChars="250"/>
        <w:rPr>
          <w:rFonts w:hint="eastAsia" w:ascii="仿宋" w:hAnsi="仿宋" w:eastAsia="仿宋" w:cs="仿宋"/>
          <w:color w:val="auto"/>
          <w:szCs w:val="28"/>
          <w:highlight w:val="none"/>
        </w:rPr>
      </w:pPr>
      <w:r>
        <w:rPr>
          <w:rFonts w:ascii="仿宋" w:hAnsi="仿宋" w:eastAsia="仿宋" w:cs="仿宋"/>
          <w:color w:val="auto"/>
          <w:szCs w:val="28"/>
          <w:highlight w:val="none"/>
        </w:rPr>
        <w:t>11</w:t>
      </w:r>
      <w:r>
        <w:rPr>
          <w:rFonts w:hint="eastAsia" w:ascii="仿宋" w:hAnsi="仿宋" w:eastAsia="仿宋" w:cs="仿宋"/>
          <w:color w:val="auto"/>
          <w:szCs w:val="28"/>
          <w:highlight w:val="none"/>
        </w:rPr>
        <w:t>）本文本及设计图未特别说明的内容，均应遵照相关施工规范及各种专业、行业技术规范、标准进行。</w:t>
      </w:r>
    </w:p>
    <w:p w14:paraId="30153B3E">
      <w:pPr>
        <w:adjustRightInd w:val="0"/>
        <w:snapToGrid w:val="0"/>
        <w:ind w:firstLine="562"/>
        <w:outlineLvl w:val="1"/>
        <w:rPr>
          <w:rFonts w:hint="eastAsia" w:ascii="仿宋" w:hAnsi="仿宋" w:eastAsia="仿宋" w:cs="仿宋"/>
          <w:b/>
          <w:color w:val="auto"/>
          <w:szCs w:val="28"/>
          <w:highlight w:val="none"/>
        </w:rPr>
      </w:pPr>
      <w:r>
        <w:rPr>
          <w:rFonts w:ascii="仿宋" w:hAnsi="仿宋" w:eastAsia="仿宋" w:cs="仿宋"/>
          <w:b/>
          <w:color w:val="auto"/>
          <w:szCs w:val="28"/>
          <w:highlight w:val="none"/>
        </w:rPr>
        <w:t>1</w:t>
      </w:r>
      <w:r>
        <w:rPr>
          <w:rFonts w:hint="eastAsia" w:ascii="仿宋" w:hAnsi="仿宋" w:eastAsia="仿宋" w:cs="仿宋"/>
          <w:b/>
          <w:color w:val="auto"/>
          <w:szCs w:val="28"/>
          <w:highlight w:val="none"/>
          <w:lang w:val="en-US" w:eastAsia="zh-CN"/>
        </w:rPr>
        <w:t>2.4</w:t>
      </w:r>
      <w:r>
        <w:rPr>
          <w:rFonts w:hint="eastAsia" w:ascii="仿宋" w:hAnsi="仿宋" w:eastAsia="仿宋" w:cs="仿宋"/>
          <w:b/>
          <w:color w:val="auto"/>
          <w:szCs w:val="28"/>
          <w:highlight w:val="none"/>
        </w:rPr>
        <w:t>施工安全</w:t>
      </w:r>
    </w:p>
    <w:p w14:paraId="03E37454">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1）施工单位应当在危大工程施工前组织工程技术人员编制专项施工方案。实行施工总承包的，专项施工方案应当由施工总承包单位组织编制。危大工程实行分包的，专项施工方案可以由相关专业分包单位组织编制。</w:t>
      </w:r>
    </w:p>
    <w:p w14:paraId="26D50F54">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2）危大工程的专项施工方案，应由施工单位技术负责人审核签字、加盖单位公章，并由总监理工程师审查签字、加盖执业印章后方可实施。实行分包的项目，危大工程的专项施工方案应当由总承包单位技术负责人及分包单位技术负责人共同审核签字并加盖单位公章。</w:t>
      </w:r>
    </w:p>
    <w:p w14:paraId="57592422">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3）对于超过一定规模的危大工程，施工单位应当组织召开专家论证会对专项施工方案进行论证；实行施工总承包的，由施工总承包单位组织召开专家论证会。专家论证前专项施工方案应当通过施工单位审核和总监理工程师审查：专家论证会后，应当形成论证报告，对专项施工方案提出通过、修改后通过或者不通过的一致意见。专家对论证报告负责并签字确认。专家应当从地方人民政府住房城乡建设主管部门建立的专家库中选取，符合专业要求且人数不得少于5名。与本工程有利害关系的人员不得以专家身份参加专家论证会。</w:t>
      </w:r>
    </w:p>
    <w:p w14:paraId="5F496019">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4）施工时应严格按国家，部委及地方制定的现行标准、规范、规程和规定及相关图集执行，并满足国家、地区有关安全生产的规定（包括安全生产条例），确保施工场地、人员以及周边其它建（构）筑物、道路、管线的安全。</w:t>
      </w:r>
    </w:p>
    <w:p w14:paraId="5096A522">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（5）专项施工方案实施前，编制人员或者项目技术负责人应当向施工现场管理人员进行方案交底施工现场管理人员应当向作业人员进行安全技术交底，并由双方和项目专职安全生产管理人员共同签字确认。</w:t>
      </w:r>
    </w:p>
    <w:p w14:paraId="3E630010">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（6）施工单位应当严格按照专项施工方案组织施工，不得擅自修改专项施工方案。</w:t>
      </w:r>
    </w:p>
    <w:p w14:paraId="5DF5C793">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（7）施工单位应当按照规定对危大工程进行施工监测和安全巡视，发现危及人身安全的紧急情况，应当立即组织作业人员撒离危险区域。</w:t>
      </w:r>
    </w:p>
    <w:p w14:paraId="55E45AF3">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（8）监理单位应当结合危大工程专项施工方案编制监理实施细则，并对危大工程施工实施专项巡视检查。</w:t>
      </w:r>
    </w:p>
    <w:p w14:paraId="2C55B8FA">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9）监理单位发现施工单位未按照专项施工方案施工的，应当要求其进行整改：情节严重的，应当要求其暂停施工，并及时报告建设单位、施工单位拒不整改或者不停止施工的，监理单位应当及时报告建设单位和工程所在地住房城乡建设主管部门。</w:t>
      </w:r>
    </w:p>
    <w:p w14:paraId="5D450778">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（10）施工过程中的施工荷载不得超过规定要求。确有必要超出时，应进行施工方案的验算并通过相关部门审查，不应影响主体结构及其地基基础的安全度，并采取可靠的临时加固措施。</w:t>
      </w:r>
    </w:p>
    <w:p w14:paraId="31DB6715">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（11）危大工程发生险情或者事故时，施工单位应当立即采取应急处置措施，并报告工程所在地住房城乡建设主管部门、建设、勘察、设计、监理等单位应当配合施工单位开展应急抢险工作。</w:t>
      </w:r>
    </w:p>
    <w:p w14:paraId="1544FD57">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（12）危大工程应急抢险结束后，建设单位应当组织勘察，设计、施工、监理等单位制定工程恢复方案，并对应急抢险工作进行后评估。</w:t>
      </w:r>
    </w:p>
    <w:p w14:paraId="57DBCA0A">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（13）施工、监理单位应当建立危大工程安全管理档案。</w:t>
      </w:r>
    </w:p>
    <w:p w14:paraId="01ACF52E">
      <w:pPr>
        <w:adjustRightInd w:val="0"/>
        <w:snapToGrid w:val="0"/>
        <w:ind w:firstLine="562"/>
        <w:outlineLvl w:val="1"/>
        <w:rPr>
          <w:rFonts w:hint="eastAsia" w:ascii="仿宋" w:hAnsi="仿宋" w:eastAsia="仿宋" w:cs="仿宋"/>
          <w:b/>
          <w:color w:val="auto"/>
          <w:szCs w:val="28"/>
          <w:highlight w:val="none"/>
        </w:rPr>
      </w:pPr>
      <w:r>
        <w:rPr>
          <w:rFonts w:ascii="仿宋" w:hAnsi="仿宋" w:eastAsia="仿宋" w:cs="仿宋"/>
          <w:b/>
          <w:color w:val="auto"/>
          <w:szCs w:val="28"/>
          <w:highlight w:val="none"/>
        </w:rPr>
        <w:t>1</w:t>
      </w:r>
      <w:r>
        <w:rPr>
          <w:rFonts w:hint="eastAsia" w:ascii="仿宋" w:hAnsi="仿宋" w:eastAsia="仿宋" w:cs="仿宋"/>
          <w:b/>
          <w:color w:val="auto"/>
          <w:szCs w:val="28"/>
          <w:highlight w:val="none"/>
          <w:lang w:val="en-US" w:eastAsia="zh-CN"/>
        </w:rPr>
        <w:t>2.5</w:t>
      </w:r>
      <w:r>
        <w:rPr>
          <w:rFonts w:hint="eastAsia" w:ascii="仿宋" w:hAnsi="仿宋" w:eastAsia="仿宋" w:cs="仿宋"/>
          <w:b/>
          <w:color w:val="auto"/>
          <w:szCs w:val="28"/>
          <w:highlight w:val="none"/>
        </w:rPr>
        <w:t>周边环境安全</w:t>
      </w:r>
    </w:p>
    <w:p w14:paraId="0F1C9699">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1）建设单位应提供施工现场及毗邻区域内供水、排水、供电、供气、供热、通信、广播电视等地下管线资料，气象和水文观测资料，相邻建筑物和构筑物、地下工程的有关资料，并保证资料的真实、准确、完整。</w:t>
      </w:r>
    </w:p>
    <w:p w14:paraId="56190B26">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（2）城市市区拆除工程封闭围挡措施：堆放、清除废弃物以及除尘降噪的措施。</w:t>
      </w:r>
    </w:p>
    <w:p w14:paraId="4932A01B">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（3）施工单位应当在施工现场显著位置公告危大工程名称、施工时间和具体责任人员，并在危险区域设置安全警示标志。</w:t>
      </w:r>
    </w:p>
    <w:p w14:paraId="67D81F78">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4）对于按照规定需要进行第三方监测的危大工程，建设单位应当委托具有相应勘察资质的单位进行监测。监测单位应当编制监测方案。监测方案由监测单位技术负责人审核签字并加盖单位公章，报送监理单位后方可实施。监测单位应当按照监测方案开展监测，及时向建设单位报送监测成果，并对监测成果负责：发现异常时，及时向建设、设计、施工、监理单位报告，建设单位应当立即组织相关单位采取处置措施。</w:t>
      </w:r>
    </w:p>
    <w:p w14:paraId="556E7E39">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（5）施工现场的废水、废气等的处理排放应严格按照国家相关法规执行。产生的固体废物必须严格按照《中华人民共和国固体废物污染环境防治法》有关规定妥善收集、存放和清运。</w:t>
      </w:r>
    </w:p>
    <w:p w14:paraId="5807BA51">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（6）应严格按照《中华人民共和国环境噪声污染防治法》及地方相关规定，规范施工噪声管理。</w:t>
      </w:r>
    </w:p>
    <w:p w14:paraId="683B3643">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（7）施工时发现文物、古迹、爆炸物、电缆等，应当停止施工，保护好现场，及时向有关部门报告，按照有关规定处理后方可继续施工。</w:t>
      </w:r>
    </w:p>
    <w:p w14:paraId="003795E2">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（8）施工现场有存放化学品等有毒材料、油料时，必须对库房进行防渗漏处理，储存和使用必须果取有效措施防止渗漏污染土壤水体。</w:t>
      </w:r>
    </w:p>
    <w:p w14:paraId="76E6D7A8">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（9）施工现场的主要道路应做硬化处理。裸露的场地和集中堆放的土方应采取覆盖、固化或绿化等措施，土方作业应采取防止扬尘措施。</w:t>
      </w:r>
    </w:p>
    <w:p w14:paraId="39A57947">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3.“危大工程”、“超危大工程”验收</w:t>
      </w:r>
    </w:p>
    <w:p w14:paraId="7523F926">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（1）对于按照规定需要验收的危大工程，施工单位、监理单位应当组织相关人员进行验收。验收合格的，经施工单位项目技术负责人及总监理工程师签字确认后，方可进入下一道工序。</w:t>
      </w:r>
    </w:p>
    <w:p w14:paraId="14872247">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（2）危大工程验收合格后，施工单位应当在施工现场明显位置设置验收标识牌，公示验收时间及责任人员。</w:t>
      </w:r>
    </w:p>
    <w:p w14:paraId="1421B2CC">
      <w:pPr>
        <w:ind w:firstLine="700" w:firstLineChars="250"/>
        <w:rPr>
          <w:rFonts w:hint="eastAsia" w:ascii="仿宋" w:hAnsi="仿宋" w:eastAsia="仿宋" w:cs="仿宋"/>
          <w:color w:val="auto"/>
          <w:szCs w:val="28"/>
          <w:highlight w:val="none"/>
        </w:rPr>
      </w:pPr>
      <w:r>
        <w:rPr>
          <w:rFonts w:hint="eastAsia" w:ascii="仿宋" w:hAnsi="仿宋" w:eastAsia="仿宋" w:cs="仿宋"/>
          <w:color w:val="auto"/>
          <w:szCs w:val="28"/>
          <w:highlight w:val="none"/>
        </w:rPr>
        <w:t>（3）施工单位应当将专项施工方案及审核、专家论证、交底、现场检查、验收及整改等相关资料纳入档案管理；监理单位应当将监理实施细则、专项施工方案审查、专项巡视检查、验收及整改等相关资料纳入档案管理。</w:t>
      </w:r>
    </w:p>
    <w:p w14:paraId="47C20151">
      <w:pPr>
        <w:pStyle w:val="35"/>
        <w:numPr>
          <w:ilvl w:val="0"/>
          <w:numId w:val="1"/>
        </w:numPr>
        <w:adjustRightInd w:val="0"/>
        <w:snapToGrid w:val="0"/>
        <w:ind w:firstLineChars="0"/>
        <w:outlineLvl w:val="0"/>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管道现场调整原则及变更原则</w:t>
      </w:r>
    </w:p>
    <w:p w14:paraId="47888AC0">
      <w:pPr>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本工程排水管道放线均按检查井坐标表严格放线，检查井坐标点为主线管道轴线投影与检查井横轴线交点。另外，本次设计中管道沿居民房屋后埋地敷设时，与建筑物基础的间距，不得小于2.5米，并不得影响建筑安全，若图示与现场实际情况不符，可根据实际情况进行调整。现场调整原则：检查井的位置，应设在管道交汇处、转弯处、管径或坡度改变处、跌水处以及直线管段上每隔一定距离处。本次设计直线段检查井间距控制在20m~30m之间，不大于40m，若现场局部井位需要调整，需严格遵循这一原则，调整井位平面位置后，需严格控制管内底标高，不可降低下游管道管内底标高，不可产生逆坡，若由于调整井位和标高使下游无法接入现状污水检查井，需由施工单位负责返工。施工前应与有关管线单位及业主联系，了解地下管线情况后方能施工。若现场放线发现检查井或管道位置位于民房、雨水沟或道路中心，需跟设计单位联系确定调整。</w:t>
      </w:r>
    </w:p>
    <w:p w14:paraId="27F1084F">
      <w:pPr>
        <w:pStyle w:val="35"/>
        <w:numPr>
          <w:ilvl w:val="0"/>
          <w:numId w:val="1"/>
        </w:numPr>
        <w:adjustRightInd w:val="0"/>
        <w:snapToGrid w:val="0"/>
        <w:ind w:firstLineChars="0"/>
        <w:outlineLvl w:val="0"/>
        <w:rPr>
          <w:rFonts w:hint="eastAsia" w:ascii="仿宋" w:hAnsi="仿宋" w:eastAsia="仿宋" w:cs="仿宋"/>
          <w:b/>
          <w:color w:val="auto"/>
          <w:szCs w:val="28"/>
          <w:highlight w:val="none"/>
        </w:rPr>
      </w:pPr>
      <w:r>
        <w:rPr>
          <w:rFonts w:hint="eastAsia" w:ascii="仿宋" w:hAnsi="仿宋" w:eastAsia="仿宋" w:cs="仿宋"/>
          <w:b/>
          <w:color w:val="auto"/>
          <w:szCs w:val="28"/>
          <w:highlight w:val="none"/>
        </w:rPr>
        <w:t>主要工程量表</w:t>
      </w:r>
    </w:p>
    <w:p w14:paraId="10C722E7">
      <w:pPr>
        <w:adjustRightInd w:val="0"/>
        <w:snapToGrid w:val="0"/>
        <w:ind w:firstLine="562"/>
        <w:outlineLvl w:val="1"/>
        <w:rPr>
          <w:rFonts w:hint="eastAsia" w:ascii="仿宋" w:hAnsi="仿宋" w:eastAsia="仿宋" w:cs="仿宋"/>
          <w:color w:val="auto"/>
          <w:highlight w:val="none"/>
        </w:rPr>
      </w:pPr>
      <w:bookmarkStart w:id="84" w:name="_Toc529210460"/>
      <w:bookmarkStart w:id="85" w:name="_Toc9323"/>
      <w:bookmarkStart w:id="86" w:name="_Toc123149237"/>
      <w:bookmarkStart w:id="87" w:name="_Toc29689"/>
      <w:bookmarkStart w:id="88" w:name="_Toc109047012"/>
      <w:bookmarkStart w:id="89" w:name="_Toc165368514"/>
      <w:r>
        <w:rPr>
          <w:rFonts w:hint="eastAsia" w:ascii="仿宋" w:hAnsi="仿宋" w:eastAsia="仿宋" w:cs="仿宋"/>
          <w:color w:val="auto"/>
          <w:highlight w:val="none"/>
          <w:lang w:val="en-US" w:eastAsia="zh-CN"/>
        </w:rPr>
        <w:t>14.1</w:t>
      </w:r>
      <w:r>
        <w:rPr>
          <w:rFonts w:hint="eastAsia" w:ascii="仿宋" w:hAnsi="仿宋" w:eastAsia="仿宋" w:cs="仿宋"/>
          <w:color w:val="auto"/>
          <w:highlight w:val="none"/>
        </w:rPr>
        <w:t>施工便道工程数量表</w:t>
      </w:r>
    </w:p>
    <w:bookmarkEnd w:id="84"/>
    <w:bookmarkEnd w:id="85"/>
    <w:bookmarkEnd w:id="86"/>
    <w:bookmarkEnd w:id="87"/>
    <w:bookmarkEnd w:id="88"/>
    <w:bookmarkEnd w:id="89"/>
    <w:tbl>
      <w:tblPr>
        <w:tblStyle w:val="23"/>
        <w:tblW w:w="101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6"/>
        <w:gridCol w:w="4979"/>
        <w:gridCol w:w="750"/>
        <w:gridCol w:w="917"/>
        <w:gridCol w:w="2838"/>
      </w:tblGrid>
      <w:tr w14:paraId="68C6F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12E4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序号</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068A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项目名称</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81F4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单位</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9884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数量</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0B6B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备注</w:t>
            </w:r>
          </w:p>
        </w:tc>
      </w:tr>
      <w:tr w14:paraId="60A62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10A7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8818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路基工程</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7E4E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6EE5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FA88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r>
      <w:tr w14:paraId="521A5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6B5A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1.1</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3837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FF0000"/>
                <w:sz w:val="24"/>
                <w:szCs w:val="24"/>
                <w:highlight w:val="none"/>
                <w:u w:val="none"/>
              </w:rPr>
            </w:pPr>
            <w:r>
              <w:rPr>
                <w:rFonts w:hint="eastAsia" w:ascii="仿宋" w:hAnsi="仿宋" w:eastAsia="仿宋" w:cs="仿宋"/>
                <w:i w:val="0"/>
                <w:iCs w:val="0"/>
                <w:color w:val="FF0000"/>
                <w:kern w:val="0"/>
                <w:sz w:val="24"/>
                <w:szCs w:val="24"/>
                <w:highlight w:val="none"/>
                <w:u w:val="none"/>
                <w:lang w:val="en-US" w:eastAsia="zh-CN" w:bidi="ar"/>
              </w:rPr>
              <w:t>挖土方</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D7B8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FF0000"/>
                <w:sz w:val="24"/>
                <w:szCs w:val="24"/>
                <w:highlight w:val="none"/>
                <w:u w:val="none"/>
              </w:rPr>
            </w:pPr>
            <w:r>
              <w:rPr>
                <w:rFonts w:hint="default" w:ascii="Times New Roman" w:hAnsi="Times New Roman" w:eastAsia="宋体" w:cs="Times New Roman"/>
                <w:i w:val="0"/>
                <w:iCs w:val="0"/>
                <w:color w:val="FF0000"/>
                <w:kern w:val="0"/>
                <w:sz w:val="24"/>
                <w:szCs w:val="24"/>
                <w:highlight w:val="none"/>
                <w:u w:val="none"/>
                <w:lang w:val="en-US" w:eastAsia="zh-CN" w:bidi="ar"/>
              </w:rPr>
              <w:t>m3</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616C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FF0000"/>
                <w:sz w:val="24"/>
                <w:szCs w:val="24"/>
                <w:highlight w:val="none"/>
                <w:u w:val="none"/>
                <w:lang w:val="en-US"/>
              </w:rPr>
            </w:pPr>
            <w:r>
              <w:rPr>
                <w:rFonts w:hint="eastAsia" w:eastAsia="宋体" w:cs="Times New Roman"/>
                <w:i w:val="0"/>
                <w:iCs w:val="0"/>
                <w:color w:val="FF0000"/>
                <w:kern w:val="0"/>
                <w:sz w:val="24"/>
                <w:szCs w:val="24"/>
                <w:highlight w:val="none"/>
                <w:u w:val="none"/>
                <w:lang w:val="en-US" w:eastAsia="zh-CN" w:bidi="ar"/>
              </w:rPr>
              <w:t>2138</w:t>
            </w:r>
          </w:p>
        </w:tc>
        <w:tc>
          <w:tcPr>
            <w:tcW w:w="28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3FF21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机械凿打</w:t>
            </w:r>
          </w:p>
        </w:tc>
      </w:tr>
      <w:tr w14:paraId="617BD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D93F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1.2</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0FF0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FF0000"/>
                <w:sz w:val="24"/>
                <w:szCs w:val="24"/>
                <w:highlight w:val="none"/>
                <w:u w:val="none"/>
              </w:rPr>
            </w:pPr>
            <w:r>
              <w:rPr>
                <w:rFonts w:hint="eastAsia" w:ascii="仿宋" w:hAnsi="仿宋" w:eastAsia="仿宋" w:cs="仿宋"/>
                <w:i w:val="0"/>
                <w:iCs w:val="0"/>
                <w:color w:val="FF0000"/>
                <w:kern w:val="0"/>
                <w:sz w:val="24"/>
                <w:szCs w:val="24"/>
                <w:highlight w:val="none"/>
                <w:u w:val="none"/>
                <w:lang w:val="en-US" w:eastAsia="zh-CN" w:bidi="ar"/>
              </w:rPr>
              <w:t>挖石方</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3B63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FF0000"/>
                <w:sz w:val="24"/>
                <w:szCs w:val="24"/>
                <w:highlight w:val="none"/>
                <w:u w:val="none"/>
              </w:rPr>
            </w:pPr>
            <w:r>
              <w:rPr>
                <w:rFonts w:hint="default" w:ascii="Times New Roman" w:hAnsi="Times New Roman" w:eastAsia="宋体" w:cs="Times New Roman"/>
                <w:i w:val="0"/>
                <w:iCs w:val="0"/>
                <w:color w:val="FF0000"/>
                <w:kern w:val="0"/>
                <w:sz w:val="24"/>
                <w:szCs w:val="24"/>
                <w:highlight w:val="none"/>
                <w:u w:val="none"/>
                <w:lang w:val="en-US" w:eastAsia="zh-CN" w:bidi="ar"/>
              </w:rPr>
              <w:t>m3</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7893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FF0000"/>
                <w:sz w:val="24"/>
                <w:szCs w:val="24"/>
                <w:highlight w:val="none"/>
                <w:u w:val="none"/>
              </w:rPr>
            </w:pPr>
            <w:r>
              <w:rPr>
                <w:rFonts w:hint="default" w:ascii="Times New Roman" w:hAnsi="Times New Roman" w:eastAsia="宋体" w:cs="Times New Roman"/>
                <w:i w:val="0"/>
                <w:iCs w:val="0"/>
                <w:color w:val="FF0000"/>
                <w:kern w:val="0"/>
                <w:sz w:val="24"/>
                <w:szCs w:val="24"/>
                <w:highlight w:val="none"/>
                <w:u w:val="none"/>
                <w:lang w:val="en-US" w:eastAsia="zh-CN" w:bidi="ar"/>
              </w:rPr>
              <w:t>4988</w:t>
            </w:r>
          </w:p>
        </w:tc>
        <w:tc>
          <w:tcPr>
            <w:tcW w:w="28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5CD30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r>
      <w:tr w14:paraId="2B990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3217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1.3</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BB51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FF0000"/>
                <w:sz w:val="24"/>
                <w:szCs w:val="24"/>
                <w:highlight w:val="none"/>
                <w:u w:val="none"/>
              </w:rPr>
            </w:pPr>
            <w:r>
              <w:rPr>
                <w:rFonts w:hint="eastAsia" w:ascii="仿宋" w:hAnsi="仿宋" w:eastAsia="仿宋" w:cs="仿宋"/>
                <w:i w:val="0"/>
                <w:iCs w:val="0"/>
                <w:color w:val="FF0000"/>
                <w:kern w:val="0"/>
                <w:sz w:val="24"/>
                <w:szCs w:val="24"/>
                <w:highlight w:val="none"/>
                <w:u w:val="none"/>
                <w:lang w:val="en-US" w:eastAsia="zh-CN" w:bidi="ar"/>
              </w:rPr>
              <w:t>填方</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4EEF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FF0000"/>
                <w:sz w:val="24"/>
                <w:szCs w:val="24"/>
                <w:highlight w:val="none"/>
                <w:u w:val="none"/>
              </w:rPr>
            </w:pPr>
            <w:r>
              <w:rPr>
                <w:rFonts w:hint="default" w:ascii="Times New Roman" w:hAnsi="Times New Roman" w:eastAsia="宋体" w:cs="Times New Roman"/>
                <w:i w:val="0"/>
                <w:iCs w:val="0"/>
                <w:color w:val="FF0000"/>
                <w:kern w:val="0"/>
                <w:sz w:val="24"/>
                <w:szCs w:val="24"/>
                <w:highlight w:val="none"/>
                <w:u w:val="none"/>
                <w:lang w:val="en-US" w:eastAsia="zh-CN" w:bidi="ar"/>
              </w:rPr>
              <w:t>m3</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D834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FF0000"/>
                <w:sz w:val="24"/>
                <w:szCs w:val="24"/>
                <w:highlight w:val="none"/>
                <w:u w:val="none"/>
              </w:rPr>
            </w:pPr>
            <w:r>
              <w:rPr>
                <w:rFonts w:hint="default" w:ascii="Times New Roman" w:hAnsi="Times New Roman" w:eastAsia="宋体" w:cs="Times New Roman"/>
                <w:i w:val="0"/>
                <w:iCs w:val="0"/>
                <w:color w:val="FF0000"/>
                <w:kern w:val="0"/>
                <w:sz w:val="24"/>
                <w:szCs w:val="24"/>
                <w:highlight w:val="none"/>
                <w:u w:val="none"/>
                <w:lang w:val="en-US" w:eastAsia="zh-CN" w:bidi="ar"/>
              </w:rPr>
              <w:t>6790</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0D5A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r>
      <w:tr w14:paraId="22AA9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D62D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1.4</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A419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FF0000"/>
                <w:sz w:val="24"/>
                <w:szCs w:val="24"/>
                <w:highlight w:val="none"/>
                <w:u w:val="none"/>
              </w:rPr>
            </w:pPr>
            <w:r>
              <w:rPr>
                <w:rFonts w:hint="eastAsia" w:ascii="仿宋" w:hAnsi="仿宋" w:eastAsia="仿宋" w:cs="仿宋"/>
                <w:i w:val="0"/>
                <w:iCs w:val="0"/>
                <w:color w:val="FF0000"/>
                <w:kern w:val="0"/>
                <w:sz w:val="24"/>
                <w:szCs w:val="24"/>
                <w:highlight w:val="none"/>
                <w:u w:val="none"/>
                <w:lang w:val="en-US" w:eastAsia="zh-CN" w:bidi="ar"/>
              </w:rPr>
              <w:t>清表</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213F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FF0000"/>
                <w:sz w:val="24"/>
                <w:szCs w:val="24"/>
                <w:highlight w:val="none"/>
                <w:u w:val="none"/>
              </w:rPr>
            </w:pPr>
            <w:r>
              <w:rPr>
                <w:rFonts w:hint="default" w:ascii="Times New Roman" w:hAnsi="Times New Roman" w:eastAsia="宋体" w:cs="Times New Roman"/>
                <w:i w:val="0"/>
                <w:iCs w:val="0"/>
                <w:color w:val="FF0000"/>
                <w:kern w:val="0"/>
                <w:sz w:val="24"/>
                <w:szCs w:val="24"/>
                <w:highlight w:val="none"/>
                <w:u w:val="none"/>
                <w:lang w:val="en-US" w:eastAsia="zh-CN" w:bidi="ar"/>
              </w:rPr>
              <w:t>m3</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0047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FF0000"/>
                <w:sz w:val="24"/>
                <w:szCs w:val="24"/>
                <w:highlight w:val="none"/>
                <w:u w:val="none"/>
              </w:rPr>
            </w:pPr>
            <w:r>
              <w:rPr>
                <w:rFonts w:hint="default" w:ascii="Times New Roman" w:hAnsi="Times New Roman" w:eastAsia="宋体" w:cs="Times New Roman"/>
                <w:i w:val="0"/>
                <w:iCs w:val="0"/>
                <w:color w:val="FF0000"/>
                <w:kern w:val="0"/>
                <w:sz w:val="24"/>
                <w:szCs w:val="24"/>
                <w:highlight w:val="none"/>
                <w:u w:val="none"/>
                <w:lang w:val="en-US" w:eastAsia="zh-CN" w:bidi="ar"/>
              </w:rPr>
              <w:t>2350</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3F1F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运距暂按</w:t>
            </w:r>
            <w:r>
              <w:rPr>
                <w:rFonts w:hint="default" w:ascii="Times New Roman" w:hAnsi="Times New Roman" w:eastAsia="仿宋" w:cs="Times New Roman"/>
                <w:i w:val="0"/>
                <w:iCs w:val="0"/>
                <w:color w:val="auto"/>
                <w:kern w:val="0"/>
                <w:sz w:val="24"/>
                <w:szCs w:val="24"/>
                <w:highlight w:val="none"/>
                <w:u w:val="none"/>
                <w:lang w:val="en-US" w:eastAsia="zh-CN" w:bidi="ar"/>
              </w:rPr>
              <w:t>20Km</w:t>
            </w:r>
          </w:p>
        </w:tc>
      </w:tr>
      <w:tr w14:paraId="5CD9E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903A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1.5</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5182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FF0000"/>
                <w:sz w:val="24"/>
                <w:szCs w:val="24"/>
                <w:highlight w:val="none"/>
                <w:u w:val="none"/>
              </w:rPr>
            </w:pPr>
            <w:r>
              <w:rPr>
                <w:rFonts w:hint="eastAsia" w:ascii="仿宋" w:hAnsi="仿宋" w:eastAsia="仿宋" w:cs="仿宋"/>
                <w:i w:val="0"/>
                <w:iCs w:val="0"/>
                <w:color w:val="FF0000"/>
                <w:kern w:val="0"/>
                <w:sz w:val="24"/>
                <w:szCs w:val="24"/>
                <w:highlight w:val="none"/>
                <w:u w:val="none"/>
                <w:lang w:val="en-US" w:eastAsia="zh-CN" w:bidi="ar"/>
              </w:rPr>
              <w:t>弃方</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436B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FF0000"/>
                <w:sz w:val="24"/>
                <w:szCs w:val="24"/>
                <w:highlight w:val="none"/>
                <w:u w:val="none"/>
              </w:rPr>
            </w:pPr>
            <w:r>
              <w:rPr>
                <w:rFonts w:hint="default" w:ascii="Times New Roman" w:hAnsi="Times New Roman" w:eastAsia="宋体" w:cs="Times New Roman"/>
                <w:i w:val="0"/>
                <w:iCs w:val="0"/>
                <w:color w:val="FF0000"/>
                <w:kern w:val="0"/>
                <w:sz w:val="24"/>
                <w:szCs w:val="24"/>
                <w:highlight w:val="none"/>
                <w:u w:val="none"/>
                <w:lang w:val="en-US" w:eastAsia="zh-CN" w:bidi="ar"/>
              </w:rPr>
              <w:t>m3</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2BFC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FF0000"/>
                <w:sz w:val="24"/>
                <w:szCs w:val="24"/>
                <w:highlight w:val="none"/>
                <w:u w:val="none"/>
                <w:lang w:val="en-US"/>
              </w:rPr>
            </w:pPr>
            <w:r>
              <w:rPr>
                <w:rFonts w:hint="eastAsia" w:eastAsia="宋体" w:cs="Times New Roman"/>
                <w:i w:val="0"/>
                <w:iCs w:val="0"/>
                <w:color w:val="FF0000"/>
                <w:kern w:val="0"/>
                <w:sz w:val="24"/>
                <w:szCs w:val="24"/>
                <w:highlight w:val="none"/>
                <w:u w:val="none"/>
                <w:lang w:val="en-US" w:eastAsia="zh-CN" w:bidi="ar"/>
              </w:rPr>
              <w:t>336</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61A7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运距暂按</w:t>
            </w:r>
            <w:r>
              <w:rPr>
                <w:rFonts w:hint="default" w:ascii="Times New Roman" w:hAnsi="Times New Roman" w:eastAsia="仿宋" w:cs="Times New Roman"/>
                <w:i w:val="0"/>
                <w:iCs w:val="0"/>
                <w:color w:val="auto"/>
                <w:kern w:val="0"/>
                <w:sz w:val="24"/>
                <w:szCs w:val="24"/>
                <w:highlight w:val="none"/>
                <w:u w:val="none"/>
                <w:lang w:val="en-US" w:eastAsia="zh-CN" w:bidi="ar"/>
              </w:rPr>
              <w:t>20Km</w:t>
            </w:r>
          </w:p>
        </w:tc>
      </w:tr>
      <w:tr w14:paraId="5473B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8F4C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1.6</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5D5A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路床超挖回填碎石土</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7054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m3</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6D1D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500</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505C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r>
      <w:tr w14:paraId="3B747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EF81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1.7</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D6DF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强夯</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DD70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B2F8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915</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1624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r>
      <w:tr w14:paraId="3FEBA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CE7F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1.8</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0AF1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清淤</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4843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6ED8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0C11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r>
      <w:tr w14:paraId="7551FC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A8F1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1.8.1</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98D1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清淤土方</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60FB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m3</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510D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814</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23EF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运距暂按20Km</w:t>
            </w:r>
          </w:p>
        </w:tc>
      </w:tr>
      <w:tr w14:paraId="012AE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0AF1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1.9</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6FA9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高填陡坡及填挖交界</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79C4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31A0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6A1E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r>
      <w:tr w14:paraId="1506F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8137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1.9.1</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D375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碎砾石渗沟</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3D68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m3</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99F6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3</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2106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r>
      <w:tr w14:paraId="6DA3E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7BEB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1.9.2</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5A55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土工格栅</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6F1D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8A1E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900</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7C97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r>
      <w:tr w14:paraId="3CFE1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E007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2</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45AF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路面工程</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7CCB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0BD4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8FA6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r>
      <w:tr w14:paraId="78B4B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727E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2.1</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FE1F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C30</w:t>
            </w:r>
            <w:r>
              <w:rPr>
                <w:rFonts w:hint="eastAsia" w:ascii="仿宋" w:hAnsi="仿宋" w:eastAsia="仿宋" w:cs="仿宋"/>
                <w:i w:val="0"/>
                <w:iCs w:val="0"/>
                <w:color w:val="auto"/>
                <w:kern w:val="0"/>
                <w:sz w:val="24"/>
                <w:szCs w:val="24"/>
                <w:highlight w:val="none"/>
                <w:u w:val="none"/>
                <w:lang w:val="en-US" w:eastAsia="zh-CN" w:bidi="ar"/>
              </w:rPr>
              <w:t>水泥混凝土</w:t>
            </w:r>
            <w:r>
              <w:rPr>
                <w:rFonts w:hint="default" w:ascii="Times New Roman" w:hAnsi="Times New Roman" w:eastAsia="宋体" w:cs="Times New Roman"/>
                <w:i w:val="0"/>
                <w:iCs w:val="0"/>
                <w:color w:val="auto"/>
                <w:kern w:val="0"/>
                <w:sz w:val="24"/>
                <w:szCs w:val="24"/>
                <w:highlight w:val="none"/>
                <w:u w:val="none"/>
                <w:lang w:val="en-US" w:eastAsia="zh-CN" w:bidi="ar"/>
              </w:rPr>
              <w:t>200mm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D50E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7F5A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1719</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6542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r>
      <w:tr w14:paraId="66247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9579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2.2</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5C1B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碎石垫层厚</w:t>
            </w:r>
            <w:r>
              <w:rPr>
                <w:rFonts w:hint="default" w:ascii="Times New Roman" w:hAnsi="Times New Roman" w:eastAsia="仿宋" w:cs="Times New Roman"/>
                <w:i w:val="0"/>
                <w:iCs w:val="0"/>
                <w:color w:val="auto"/>
                <w:kern w:val="0"/>
                <w:sz w:val="24"/>
                <w:szCs w:val="24"/>
                <w:highlight w:val="none"/>
                <w:u w:val="none"/>
                <w:lang w:val="en-US" w:eastAsia="zh-CN" w:bidi="ar"/>
              </w:rPr>
              <w:t>100mm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FD87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F33E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1719</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A1C3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r>
      <w:tr w14:paraId="08084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A2C7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3</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E42F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附属设施</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8D8E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2145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4F3B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r>
      <w:tr w14:paraId="759C1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05A9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3.1</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4825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0.4*0.4m C20</w:t>
            </w:r>
            <w:r>
              <w:rPr>
                <w:rFonts w:hint="eastAsia" w:ascii="仿宋" w:hAnsi="仿宋" w:eastAsia="仿宋" w:cs="仿宋"/>
                <w:i w:val="0"/>
                <w:iCs w:val="0"/>
                <w:color w:val="auto"/>
                <w:kern w:val="0"/>
                <w:sz w:val="24"/>
                <w:szCs w:val="24"/>
                <w:highlight w:val="none"/>
                <w:u w:val="none"/>
                <w:lang w:val="en-US" w:eastAsia="zh-CN" w:bidi="ar"/>
              </w:rPr>
              <w:t>边沟</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287E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m</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3822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eastAsia" w:ascii="仿宋" w:hAnsi="仿宋" w:eastAsia="仿宋"/>
                <w:color w:val="auto"/>
                <w:sz w:val="24"/>
                <w:highlight w:val="none"/>
                <w:lang w:val="en-US" w:eastAsia="zh-CN"/>
              </w:rPr>
              <w:t>324</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9926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r>
      <w:tr w14:paraId="04379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68A5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3.2</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0BCE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临时截排水沟</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ED2F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m</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9DE3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223</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B18D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r>
      <w:tr w14:paraId="12B52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14E1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3.3</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3154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B</w:t>
            </w:r>
            <w:r>
              <w:rPr>
                <w:rFonts w:hint="eastAsia" w:ascii="仿宋" w:hAnsi="仿宋" w:eastAsia="仿宋" w:cs="仿宋"/>
                <w:i w:val="0"/>
                <w:iCs w:val="0"/>
                <w:color w:val="auto"/>
                <w:kern w:val="0"/>
                <w:sz w:val="24"/>
                <w:szCs w:val="24"/>
                <w:highlight w:val="none"/>
                <w:u w:val="none"/>
                <w:lang w:val="en-US" w:eastAsia="zh-CN" w:bidi="ar"/>
              </w:rPr>
              <w:t>级波形护栏</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9ECA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m</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B31A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lang w:val="en-US"/>
              </w:rPr>
            </w:pPr>
            <w:r>
              <w:rPr>
                <w:rFonts w:hint="eastAsia" w:eastAsia="宋体" w:cs="Times New Roman"/>
                <w:i w:val="0"/>
                <w:iCs w:val="0"/>
                <w:color w:val="auto"/>
                <w:kern w:val="0"/>
                <w:sz w:val="24"/>
                <w:szCs w:val="24"/>
                <w:highlight w:val="none"/>
                <w:u w:val="none"/>
                <w:lang w:val="en-US" w:eastAsia="zh-CN" w:bidi="ar"/>
              </w:rPr>
              <w:t>177</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CABC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r>
      <w:tr w14:paraId="01443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6FCB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3.4</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F4A0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坡顶防护网</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C280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m</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3E36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228</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3D06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r>
      <w:tr w14:paraId="5910F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52D1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4</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9448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交通安全设施</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BDCA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EE55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3DC1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r>
      <w:tr w14:paraId="1FFC7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B204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4.1</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5206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交通标线</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5F5C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B768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150</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42C1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r>
      <w:tr w14:paraId="14B44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4196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FF0000"/>
                <w:sz w:val="24"/>
                <w:szCs w:val="24"/>
                <w:highlight w:val="none"/>
                <w:u w:val="none"/>
              </w:rPr>
            </w:pPr>
            <w:r>
              <w:rPr>
                <w:rFonts w:hint="default" w:ascii="Times New Roman" w:hAnsi="Times New Roman" w:eastAsia="宋体" w:cs="Times New Roman"/>
                <w:i w:val="0"/>
                <w:iCs w:val="0"/>
                <w:color w:val="FF0000"/>
                <w:kern w:val="0"/>
                <w:sz w:val="24"/>
                <w:szCs w:val="24"/>
                <w:highlight w:val="none"/>
                <w:u w:val="none"/>
                <w:lang w:val="en-US" w:eastAsia="zh-CN" w:bidi="ar"/>
              </w:rPr>
              <w:t>4.2</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87CD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FF0000"/>
                <w:sz w:val="24"/>
                <w:szCs w:val="24"/>
                <w:highlight w:val="none"/>
                <w:u w:val="none"/>
              </w:rPr>
            </w:pPr>
            <w:r>
              <w:rPr>
                <w:rFonts w:hint="eastAsia" w:ascii="仿宋" w:hAnsi="仿宋" w:eastAsia="仿宋" w:cs="仿宋"/>
                <w:i w:val="0"/>
                <w:iCs w:val="0"/>
                <w:color w:val="FF0000"/>
                <w:kern w:val="0"/>
                <w:sz w:val="24"/>
                <w:szCs w:val="24"/>
                <w:highlight w:val="none"/>
                <w:u w:val="none"/>
                <w:lang w:val="en-US" w:eastAsia="zh-CN" w:bidi="ar"/>
              </w:rPr>
              <w:t>振荡减速标线</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AF01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FF0000"/>
                <w:sz w:val="24"/>
                <w:szCs w:val="24"/>
                <w:highlight w:val="none"/>
                <w:u w:val="none"/>
              </w:rPr>
            </w:pPr>
            <w:r>
              <w:rPr>
                <w:rFonts w:hint="default" w:ascii="Times New Roman" w:hAnsi="Times New Roman" w:eastAsia="宋体" w:cs="Times New Roman"/>
                <w:i w:val="0"/>
                <w:iCs w:val="0"/>
                <w:color w:val="FF0000"/>
                <w:kern w:val="0"/>
                <w:sz w:val="24"/>
                <w:szCs w:val="24"/>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89C6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FF0000"/>
                <w:sz w:val="24"/>
                <w:szCs w:val="24"/>
                <w:highlight w:val="none"/>
                <w:u w:val="none"/>
                <w:lang w:val="en-US"/>
              </w:rPr>
            </w:pPr>
            <w:r>
              <w:rPr>
                <w:rFonts w:hint="eastAsia" w:eastAsia="宋体" w:cs="Times New Roman"/>
                <w:i w:val="0"/>
                <w:iCs w:val="0"/>
                <w:color w:val="FF0000"/>
                <w:kern w:val="0"/>
                <w:sz w:val="24"/>
                <w:szCs w:val="24"/>
                <w:highlight w:val="none"/>
                <w:u w:val="none"/>
                <w:lang w:val="en-US" w:eastAsia="zh-CN" w:bidi="ar"/>
              </w:rPr>
              <w:t>55</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5E0E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lang w:val="en-US" w:eastAsia="zh-CN"/>
              </w:rPr>
            </w:pPr>
            <w:r>
              <w:rPr>
                <w:rFonts w:hint="eastAsia" w:ascii="仿宋" w:hAnsi="仿宋" w:eastAsia="仿宋" w:cs="仿宋"/>
                <w:i w:val="0"/>
                <w:iCs w:val="0"/>
                <w:color w:val="auto"/>
                <w:sz w:val="24"/>
                <w:szCs w:val="24"/>
                <w:highlight w:val="none"/>
                <w:u w:val="none"/>
                <w:lang w:val="en-US" w:eastAsia="zh-CN"/>
              </w:rPr>
              <w:t>14组</w:t>
            </w:r>
          </w:p>
        </w:tc>
      </w:tr>
      <w:tr w14:paraId="15C8B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6301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4.3</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78CE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附着式标志，版面</w:t>
            </w:r>
            <w:r>
              <w:rPr>
                <w:rFonts w:hint="default" w:ascii="Times New Roman" w:hAnsi="Times New Roman" w:eastAsia="仿宋" w:cs="Times New Roman"/>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w:t>
            </w:r>
            <w:r>
              <w:rPr>
                <w:rFonts w:hint="default" w:ascii="Times New Roman" w:hAnsi="Times New Roman" w:eastAsia="仿宋" w:cs="Times New Roman"/>
                <w:i w:val="0"/>
                <w:iCs w:val="0"/>
                <w:color w:val="auto"/>
                <w:kern w:val="0"/>
                <w:sz w:val="24"/>
                <w:szCs w:val="24"/>
                <w:highlight w:val="none"/>
                <w:u w:val="none"/>
                <w:lang w:val="en-US" w:eastAsia="zh-CN" w:bidi="ar"/>
              </w:rPr>
              <w:t>900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BF77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0875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BD0B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r>
      <w:tr w14:paraId="1FC92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5473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4.4</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AD70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路口标志，版面</w:t>
            </w:r>
            <w:r>
              <w:rPr>
                <w:rFonts w:hint="default" w:ascii="Times New Roman" w:hAnsi="Times New Roman" w:eastAsia="仿宋" w:cs="Times New Roman"/>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w:t>
            </w:r>
            <w:r>
              <w:rPr>
                <w:rFonts w:hint="default" w:ascii="Times New Roman" w:hAnsi="Times New Roman" w:eastAsia="仿宋" w:cs="Times New Roman"/>
                <w:i w:val="0"/>
                <w:iCs w:val="0"/>
                <w:color w:val="auto"/>
                <w:kern w:val="0"/>
                <w:sz w:val="24"/>
                <w:szCs w:val="24"/>
                <w:highlight w:val="none"/>
                <w:u w:val="none"/>
                <w:lang w:val="en-US" w:eastAsia="zh-CN" w:bidi="ar"/>
              </w:rPr>
              <w:t>700</w:t>
            </w:r>
            <w:r>
              <w:rPr>
                <w:rFonts w:hint="eastAsia" w:ascii="仿宋" w:hAnsi="仿宋" w:eastAsia="仿宋" w:cs="仿宋"/>
                <w:i w:val="0"/>
                <w:iCs w:val="0"/>
                <w:color w:val="auto"/>
                <w:kern w:val="0"/>
                <w:sz w:val="24"/>
                <w:szCs w:val="24"/>
                <w:highlight w:val="none"/>
                <w:u w:val="none"/>
                <w:lang w:val="en-US" w:eastAsia="zh-CN" w:bidi="ar"/>
              </w:rPr>
              <w:t>，立柱</w:t>
            </w:r>
            <w:r>
              <w:rPr>
                <w:rFonts w:hint="default" w:ascii="Times New Roman" w:hAnsi="Times New Roman" w:eastAsia="仿宋" w:cs="Times New Roman"/>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Φ</w:t>
            </w:r>
            <w:r>
              <w:rPr>
                <w:rFonts w:hint="default" w:ascii="Times New Roman" w:hAnsi="Times New Roman" w:eastAsia="仿宋" w:cs="Times New Roman"/>
                <w:i w:val="0"/>
                <w:iCs w:val="0"/>
                <w:color w:val="auto"/>
                <w:kern w:val="0"/>
                <w:sz w:val="24"/>
                <w:szCs w:val="24"/>
                <w:highlight w:val="none"/>
                <w:u w:val="none"/>
                <w:lang w:val="en-US" w:eastAsia="zh-CN" w:bidi="ar"/>
              </w:rPr>
              <w:t>89</w:t>
            </w:r>
            <w:r>
              <w:rPr>
                <w:rFonts w:hint="eastAsia" w:ascii="仿宋" w:hAnsi="仿宋" w:eastAsia="仿宋" w:cs="仿宋"/>
                <w:i w:val="0"/>
                <w:iCs w:val="0"/>
                <w:color w:val="auto"/>
                <w:kern w:val="0"/>
                <w:sz w:val="24"/>
                <w:szCs w:val="24"/>
                <w:highlight w:val="none"/>
                <w:u w:val="none"/>
                <w:lang w:val="en-US" w:eastAsia="zh-CN" w:bidi="ar"/>
              </w:rPr>
              <w:t>×</w:t>
            </w:r>
            <w:r>
              <w:rPr>
                <w:rFonts w:hint="default" w:ascii="Times New Roman" w:hAnsi="Times New Roman" w:eastAsia="仿宋" w:cs="Times New Roman"/>
                <w:i w:val="0"/>
                <w:iCs w:val="0"/>
                <w:color w:val="auto"/>
                <w:kern w:val="0"/>
                <w:sz w:val="24"/>
                <w:szCs w:val="24"/>
                <w:highlight w:val="none"/>
                <w:u w:val="none"/>
                <w:lang w:val="en-US" w:eastAsia="zh-CN" w:bidi="ar"/>
              </w:rPr>
              <w:t>4.5</w:t>
            </w:r>
            <w:r>
              <w:rPr>
                <w:rFonts w:hint="eastAsia" w:ascii="仿宋" w:hAnsi="仿宋" w:eastAsia="仿宋" w:cs="仿宋"/>
                <w:i w:val="0"/>
                <w:iCs w:val="0"/>
                <w:color w:val="auto"/>
                <w:kern w:val="0"/>
                <w:sz w:val="24"/>
                <w:szCs w:val="24"/>
                <w:highlight w:val="none"/>
                <w:u w:val="none"/>
                <w:lang w:val="en-US" w:eastAsia="zh-CN" w:bidi="ar"/>
              </w:rPr>
              <w:t>×</w:t>
            </w:r>
            <w:r>
              <w:rPr>
                <w:rFonts w:hint="default" w:ascii="Times New Roman" w:hAnsi="Times New Roman" w:eastAsia="仿宋" w:cs="Times New Roman"/>
                <w:i w:val="0"/>
                <w:iCs w:val="0"/>
                <w:color w:val="auto"/>
                <w:kern w:val="0"/>
                <w:sz w:val="24"/>
                <w:szCs w:val="24"/>
                <w:highlight w:val="none"/>
                <w:u w:val="none"/>
                <w:lang w:val="en-US" w:eastAsia="zh-CN" w:bidi="ar"/>
              </w:rPr>
              <w:t>3400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72AF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1975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2</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C97A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r>
      <w:tr w14:paraId="77627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7BDC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4.5</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798E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急弯标志，版面</w:t>
            </w:r>
            <w:r>
              <w:rPr>
                <w:rFonts w:hint="default" w:ascii="Times New Roman" w:hAnsi="Times New Roman" w:eastAsia="仿宋" w:cs="Times New Roman"/>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w:t>
            </w:r>
            <w:r>
              <w:rPr>
                <w:rFonts w:hint="default" w:ascii="Times New Roman" w:hAnsi="Times New Roman" w:eastAsia="仿宋" w:cs="Times New Roman"/>
                <w:i w:val="0"/>
                <w:iCs w:val="0"/>
                <w:color w:val="auto"/>
                <w:kern w:val="0"/>
                <w:sz w:val="24"/>
                <w:szCs w:val="24"/>
                <w:highlight w:val="none"/>
                <w:u w:val="none"/>
                <w:lang w:val="en-US" w:eastAsia="zh-CN" w:bidi="ar"/>
              </w:rPr>
              <w:t>700</w:t>
            </w:r>
            <w:r>
              <w:rPr>
                <w:rFonts w:hint="eastAsia" w:ascii="仿宋" w:hAnsi="仿宋" w:eastAsia="仿宋" w:cs="仿宋"/>
                <w:i w:val="0"/>
                <w:iCs w:val="0"/>
                <w:color w:val="auto"/>
                <w:kern w:val="0"/>
                <w:sz w:val="24"/>
                <w:szCs w:val="24"/>
                <w:highlight w:val="none"/>
                <w:u w:val="none"/>
                <w:lang w:val="en-US" w:eastAsia="zh-CN" w:bidi="ar"/>
              </w:rPr>
              <w:t>，立柱</w:t>
            </w:r>
            <w:r>
              <w:rPr>
                <w:rFonts w:hint="default" w:ascii="Times New Roman" w:hAnsi="Times New Roman" w:eastAsia="仿宋" w:cs="Times New Roman"/>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Φ</w:t>
            </w:r>
            <w:r>
              <w:rPr>
                <w:rFonts w:hint="default" w:ascii="Times New Roman" w:hAnsi="Times New Roman" w:eastAsia="仿宋" w:cs="Times New Roman"/>
                <w:i w:val="0"/>
                <w:iCs w:val="0"/>
                <w:color w:val="auto"/>
                <w:kern w:val="0"/>
                <w:sz w:val="24"/>
                <w:szCs w:val="24"/>
                <w:highlight w:val="none"/>
                <w:u w:val="none"/>
                <w:lang w:val="en-US" w:eastAsia="zh-CN" w:bidi="ar"/>
              </w:rPr>
              <w:t>89</w:t>
            </w:r>
            <w:r>
              <w:rPr>
                <w:rFonts w:hint="eastAsia" w:ascii="仿宋" w:hAnsi="仿宋" w:eastAsia="仿宋" w:cs="仿宋"/>
                <w:i w:val="0"/>
                <w:iCs w:val="0"/>
                <w:color w:val="auto"/>
                <w:kern w:val="0"/>
                <w:sz w:val="24"/>
                <w:szCs w:val="24"/>
                <w:highlight w:val="none"/>
                <w:u w:val="none"/>
                <w:lang w:val="en-US" w:eastAsia="zh-CN" w:bidi="ar"/>
              </w:rPr>
              <w:t>×</w:t>
            </w:r>
            <w:r>
              <w:rPr>
                <w:rFonts w:hint="default" w:ascii="Times New Roman" w:hAnsi="Times New Roman" w:eastAsia="仿宋" w:cs="Times New Roman"/>
                <w:i w:val="0"/>
                <w:iCs w:val="0"/>
                <w:color w:val="auto"/>
                <w:kern w:val="0"/>
                <w:sz w:val="24"/>
                <w:szCs w:val="24"/>
                <w:highlight w:val="none"/>
                <w:u w:val="none"/>
                <w:lang w:val="en-US" w:eastAsia="zh-CN" w:bidi="ar"/>
              </w:rPr>
              <w:t>4.5</w:t>
            </w:r>
            <w:r>
              <w:rPr>
                <w:rFonts w:hint="eastAsia" w:ascii="仿宋" w:hAnsi="仿宋" w:eastAsia="仿宋" w:cs="仿宋"/>
                <w:i w:val="0"/>
                <w:iCs w:val="0"/>
                <w:color w:val="auto"/>
                <w:kern w:val="0"/>
                <w:sz w:val="24"/>
                <w:szCs w:val="24"/>
                <w:highlight w:val="none"/>
                <w:u w:val="none"/>
                <w:lang w:val="en-US" w:eastAsia="zh-CN" w:bidi="ar"/>
              </w:rPr>
              <w:t>×</w:t>
            </w:r>
            <w:r>
              <w:rPr>
                <w:rFonts w:hint="default" w:ascii="Times New Roman" w:hAnsi="Times New Roman" w:eastAsia="仿宋" w:cs="Times New Roman"/>
                <w:i w:val="0"/>
                <w:iCs w:val="0"/>
                <w:color w:val="auto"/>
                <w:kern w:val="0"/>
                <w:sz w:val="24"/>
                <w:szCs w:val="24"/>
                <w:highlight w:val="none"/>
                <w:u w:val="none"/>
                <w:lang w:val="en-US" w:eastAsia="zh-CN" w:bidi="ar"/>
              </w:rPr>
              <w:t>3400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0438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704C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1655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r>
      <w:tr w14:paraId="33936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7917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4.6</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53C2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急弯标志</w:t>
            </w:r>
            <w:r>
              <w:rPr>
                <w:rFonts w:hint="default" w:ascii="Times New Roman" w:hAnsi="Times New Roman" w:eastAsia="仿宋" w:cs="Times New Roman"/>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限速</w:t>
            </w:r>
            <w:r>
              <w:rPr>
                <w:rFonts w:hint="default" w:ascii="Times New Roman" w:hAnsi="Times New Roman" w:eastAsia="仿宋" w:cs="Times New Roman"/>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限重组合标志，版面</w:t>
            </w:r>
            <w:r>
              <w:rPr>
                <w:rFonts w:hint="default" w:ascii="Times New Roman" w:hAnsi="Times New Roman" w:eastAsia="仿宋" w:cs="Times New Roman"/>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w:t>
            </w:r>
            <w:r>
              <w:rPr>
                <w:rFonts w:hint="default" w:ascii="Times New Roman" w:hAnsi="Times New Roman" w:eastAsia="仿宋" w:cs="Times New Roman"/>
                <w:i w:val="0"/>
                <w:iCs w:val="0"/>
                <w:color w:val="auto"/>
                <w:kern w:val="0"/>
                <w:sz w:val="24"/>
                <w:szCs w:val="24"/>
                <w:highlight w:val="none"/>
                <w:u w:val="none"/>
                <w:lang w:val="en-US" w:eastAsia="zh-CN" w:bidi="ar"/>
              </w:rPr>
              <w:t>700+600</w:t>
            </w:r>
            <w:r>
              <w:rPr>
                <w:rFonts w:hint="eastAsia" w:ascii="仿宋" w:hAnsi="仿宋" w:eastAsia="仿宋" w:cs="仿宋"/>
                <w:i w:val="0"/>
                <w:iCs w:val="0"/>
                <w:color w:val="auto"/>
                <w:kern w:val="0"/>
                <w:sz w:val="24"/>
                <w:szCs w:val="24"/>
                <w:highlight w:val="none"/>
                <w:u w:val="none"/>
                <w:lang w:val="en-US" w:eastAsia="zh-CN" w:bidi="ar"/>
              </w:rPr>
              <w:t>×</w:t>
            </w:r>
            <w:r>
              <w:rPr>
                <w:rFonts w:hint="default" w:ascii="Times New Roman" w:hAnsi="Times New Roman" w:eastAsia="仿宋" w:cs="Times New Roman"/>
                <w:i w:val="0"/>
                <w:iCs w:val="0"/>
                <w:color w:val="auto"/>
                <w:kern w:val="0"/>
                <w:sz w:val="24"/>
                <w:szCs w:val="24"/>
                <w:highlight w:val="none"/>
                <w:u w:val="none"/>
                <w:lang w:val="en-US" w:eastAsia="zh-CN" w:bidi="ar"/>
              </w:rPr>
              <w:t>300+</w:t>
            </w:r>
            <w:r>
              <w:rPr>
                <w:rFonts w:hint="eastAsia" w:ascii="仿宋" w:hAnsi="仿宋" w:eastAsia="仿宋" w:cs="仿宋"/>
                <w:i w:val="0"/>
                <w:iCs w:val="0"/>
                <w:color w:val="auto"/>
                <w:kern w:val="0"/>
                <w:sz w:val="24"/>
                <w:szCs w:val="24"/>
                <w:highlight w:val="none"/>
                <w:u w:val="none"/>
                <w:lang w:val="en-US" w:eastAsia="zh-CN" w:bidi="ar"/>
              </w:rPr>
              <w:t>Φ</w:t>
            </w:r>
            <w:r>
              <w:rPr>
                <w:rFonts w:hint="default" w:ascii="Times New Roman" w:hAnsi="Times New Roman" w:eastAsia="仿宋" w:cs="Times New Roman"/>
                <w:i w:val="0"/>
                <w:iCs w:val="0"/>
                <w:color w:val="auto"/>
                <w:kern w:val="0"/>
                <w:sz w:val="24"/>
                <w:szCs w:val="24"/>
                <w:highlight w:val="none"/>
                <w:u w:val="none"/>
                <w:lang w:val="en-US" w:eastAsia="zh-CN" w:bidi="ar"/>
              </w:rPr>
              <w:t>600</w:t>
            </w:r>
            <w:r>
              <w:rPr>
                <w:rFonts w:hint="eastAsia" w:ascii="仿宋" w:hAnsi="仿宋" w:eastAsia="仿宋" w:cs="仿宋"/>
                <w:i w:val="0"/>
                <w:iCs w:val="0"/>
                <w:color w:val="auto"/>
                <w:kern w:val="0"/>
                <w:sz w:val="24"/>
                <w:szCs w:val="24"/>
                <w:highlight w:val="none"/>
                <w:u w:val="none"/>
                <w:lang w:val="en-US" w:eastAsia="zh-CN" w:bidi="ar"/>
              </w:rPr>
              <w:t>，立柱</w:t>
            </w:r>
            <w:r>
              <w:rPr>
                <w:rFonts w:hint="default" w:ascii="Times New Roman" w:hAnsi="Times New Roman" w:eastAsia="仿宋" w:cs="Times New Roman"/>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Φ</w:t>
            </w:r>
            <w:r>
              <w:rPr>
                <w:rFonts w:hint="default" w:ascii="Times New Roman" w:hAnsi="Times New Roman" w:eastAsia="仿宋" w:cs="Times New Roman"/>
                <w:i w:val="0"/>
                <w:iCs w:val="0"/>
                <w:color w:val="auto"/>
                <w:kern w:val="0"/>
                <w:sz w:val="24"/>
                <w:szCs w:val="24"/>
                <w:highlight w:val="none"/>
                <w:u w:val="none"/>
                <w:lang w:val="en-US" w:eastAsia="zh-CN" w:bidi="ar"/>
              </w:rPr>
              <w:t>89</w:t>
            </w:r>
            <w:r>
              <w:rPr>
                <w:rFonts w:hint="eastAsia" w:ascii="仿宋" w:hAnsi="仿宋" w:eastAsia="仿宋" w:cs="仿宋"/>
                <w:i w:val="0"/>
                <w:iCs w:val="0"/>
                <w:color w:val="auto"/>
                <w:kern w:val="0"/>
                <w:sz w:val="24"/>
                <w:szCs w:val="24"/>
                <w:highlight w:val="none"/>
                <w:u w:val="none"/>
                <w:lang w:val="en-US" w:eastAsia="zh-CN" w:bidi="ar"/>
              </w:rPr>
              <w:t>×</w:t>
            </w:r>
            <w:r>
              <w:rPr>
                <w:rFonts w:hint="default" w:ascii="Times New Roman" w:hAnsi="Times New Roman" w:eastAsia="仿宋" w:cs="Times New Roman"/>
                <w:i w:val="0"/>
                <w:iCs w:val="0"/>
                <w:color w:val="auto"/>
                <w:kern w:val="0"/>
                <w:sz w:val="24"/>
                <w:szCs w:val="24"/>
                <w:highlight w:val="none"/>
                <w:u w:val="none"/>
                <w:lang w:val="en-US" w:eastAsia="zh-CN" w:bidi="ar"/>
              </w:rPr>
              <w:t>4.5</w:t>
            </w:r>
            <w:r>
              <w:rPr>
                <w:rFonts w:hint="eastAsia" w:ascii="仿宋" w:hAnsi="仿宋" w:eastAsia="仿宋" w:cs="仿宋"/>
                <w:i w:val="0"/>
                <w:iCs w:val="0"/>
                <w:color w:val="auto"/>
                <w:kern w:val="0"/>
                <w:sz w:val="24"/>
                <w:szCs w:val="24"/>
                <w:highlight w:val="none"/>
                <w:u w:val="none"/>
                <w:lang w:val="en-US" w:eastAsia="zh-CN" w:bidi="ar"/>
              </w:rPr>
              <w:t>×</w:t>
            </w:r>
            <w:r>
              <w:rPr>
                <w:rFonts w:hint="default" w:ascii="Times New Roman" w:hAnsi="Times New Roman" w:eastAsia="仿宋" w:cs="Times New Roman"/>
                <w:i w:val="0"/>
                <w:iCs w:val="0"/>
                <w:color w:val="auto"/>
                <w:kern w:val="0"/>
                <w:sz w:val="24"/>
                <w:szCs w:val="24"/>
                <w:highlight w:val="none"/>
                <w:u w:val="none"/>
                <w:lang w:val="en-US" w:eastAsia="zh-CN" w:bidi="ar"/>
              </w:rPr>
              <w:t>4000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DCE8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CCBF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96E4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r>
      <w:tr w14:paraId="79AD1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369B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4.7</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59A6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限速标志</w:t>
            </w:r>
            <w:r>
              <w:rPr>
                <w:rFonts w:hint="default" w:ascii="Times New Roman" w:hAnsi="Times New Roman" w:eastAsia="仿宋" w:cs="Times New Roman"/>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限重组合标志，版面</w:t>
            </w:r>
            <w:r>
              <w:rPr>
                <w:rFonts w:hint="default" w:ascii="Times New Roman" w:hAnsi="Times New Roman" w:eastAsia="仿宋" w:cs="Times New Roman"/>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Φ</w:t>
            </w:r>
            <w:r>
              <w:rPr>
                <w:rFonts w:hint="default" w:ascii="Times New Roman" w:hAnsi="Times New Roman" w:eastAsia="仿宋" w:cs="Times New Roman"/>
                <w:i w:val="0"/>
                <w:iCs w:val="0"/>
                <w:color w:val="auto"/>
                <w:kern w:val="0"/>
                <w:sz w:val="24"/>
                <w:szCs w:val="24"/>
                <w:highlight w:val="none"/>
                <w:u w:val="none"/>
                <w:lang w:val="en-US" w:eastAsia="zh-CN" w:bidi="ar"/>
              </w:rPr>
              <w:t>600+</w:t>
            </w:r>
            <w:r>
              <w:rPr>
                <w:rFonts w:hint="eastAsia" w:ascii="仿宋" w:hAnsi="仿宋" w:eastAsia="仿宋" w:cs="仿宋"/>
                <w:i w:val="0"/>
                <w:iCs w:val="0"/>
                <w:color w:val="auto"/>
                <w:kern w:val="0"/>
                <w:sz w:val="24"/>
                <w:szCs w:val="24"/>
                <w:highlight w:val="none"/>
                <w:u w:val="none"/>
                <w:lang w:val="en-US" w:eastAsia="zh-CN" w:bidi="ar"/>
              </w:rPr>
              <w:t>Φ</w:t>
            </w:r>
            <w:r>
              <w:rPr>
                <w:rFonts w:hint="default" w:ascii="Times New Roman" w:hAnsi="Times New Roman" w:eastAsia="仿宋" w:cs="Times New Roman"/>
                <w:i w:val="0"/>
                <w:iCs w:val="0"/>
                <w:color w:val="auto"/>
                <w:kern w:val="0"/>
                <w:sz w:val="24"/>
                <w:szCs w:val="24"/>
                <w:highlight w:val="none"/>
                <w:u w:val="none"/>
                <w:lang w:val="en-US" w:eastAsia="zh-CN" w:bidi="ar"/>
              </w:rPr>
              <w:t>600</w:t>
            </w:r>
            <w:r>
              <w:rPr>
                <w:rFonts w:hint="eastAsia" w:ascii="仿宋" w:hAnsi="仿宋" w:eastAsia="仿宋" w:cs="仿宋"/>
                <w:i w:val="0"/>
                <w:iCs w:val="0"/>
                <w:color w:val="auto"/>
                <w:kern w:val="0"/>
                <w:sz w:val="24"/>
                <w:szCs w:val="24"/>
                <w:highlight w:val="none"/>
                <w:u w:val="none"/>
                <w:lang w:val="en-US" w:eastAsia="zh-CN" w:bidi="ar"/>
              </w:rPr>
              <w:t>，立柱</w:t>
            </w:r>
            <w:r>
              <w:rPr>
                <w:rFonts w:hint="default" w:ascii="Times New Roman" w:hAnsi="Times New Roman" w:eastAsia="仿宋" w:cs="Times New Roman"/>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Φ</w:t>
            </w:r>
            <w:r>
              <w:rPr>
                <w:rFonts w:hint="default" w:ascii="Times New Roman" w:hAnsi="Times New Roman" w:eastAsia="仿宋" w:cs="Times New Roman"/>
                <w:i w:val="0"/>
                <w:iCs w:val="0"/>
                <w:color w:val="auto"/>
                <w:kern w:val="0"/>
                <w:sz w:val="24"/>
                <w:szCs w:val="24"/>
                <w:highlight w:val="none"/>
                <w:u w:val="none"/>
                <w:lang w:val="en-US" w:eastAsia="zh-CN" w:bidi="ar"/>
              </w:rPr>
              <w:t>89</w:t>
            </w:r>
            <w:r>
              <w:rPr>
                <w:rFonts w:hint="eastAsia" w:ascii="仿宋" w:hAnsi="仿宋" w:eastAsia="仿宋" w:cs="仿宋"/>
                <w:i w:val="0"/>
                <w:iCs w:val="0"/>
                <w:color w:val="auto"/>
                <w:kern w:val="0"/>
                <w:sz w:val="24"/>
                <w:szCs w:val="24"/>
                <w:highlight w:val="none"/>
                <w:u w:val="none"/>
                <w:lang w:val="en-US" w:eastAsia="zh-CN" w:bidi="ar"/>
              </w:rPr>
              <w:t>×</w:t>
            </w:r>
            <w:r>
              <w:rPr>
                <w:rFonts w:hint="default" w:ascii="Times New Roman" w:hAnsi="Times New Roman" w:eastAsia="仿宋" w:cs="Times New Roman"/>
                <w:i w:val="0"/>
                <w:iCs w:val="0"/>
                <w:color w:val="auto"/>
                <w:kern w:val="0"/>
                <w:sz w:val="24"/>
                <w:szCs w:val="24"/>
                <w:highlight w:val="none"/>
                <w:u w:val="none"/>
                <w:lang w:val="en-US" w:eastAsia="zh-CN" w:bidi="ar"/>
              </w:rPr>
              <w:t>4.5</w:t>
            </w:r>
            <w:r>
              <w:rPr>
                <w:rFonts w:hint="eastAsia" w:ascii="仿宋" w:hAnsi="仿宋" w:eastAsia="仿宋" w:cs="仿宋"/>
                <w:i w:val="0"/>
                <w:iCs w:val="0"/>
                <w:color w:val="auto"/>
                <w:kern w:val="0"/>
                <w:sz w:val="24"/>
                <w:szCs w:val="24"/>
                <w:highlight w:val="none"/>
                <w:u w:val="none"/>
                <w:lang w:val="en-US" w:eastAsia="zh-CN" w:bidi="ar"/>
              </w:rPr>
              <w:t>×</w:t>
            </w:r>
            <w:r>
              <w:rPr>
                <w:rFonts w:hint="default" w:ascii="Times New Roman" w:hAnsi="Times New Roman" w:eastAsia="仿宋" w:cs="Times New Roman"/>
                <w:i w:val="0"/>
                <w:iCs w:val="0"/>
                <w:color w:val="auto"/>
                <w:kern w:val="0"/>
                <w:sz w:val="24"/>
                <w:szCs w:val="24"/>
                <w:highlight w:val="none"/>
                <w:u w:val="none"/>
                <w:lang w:val="en-US" w:eastAsia="zh-CN" w:bidi="ar"/>
              </w:rPr>
              <w:t>4000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87D9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60DB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9E44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r>
      <w:tr w14:paraId="6A091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70EB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4.8</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D7EF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让行</w:t>
            </w:r>
            <w:r>
              <w:rPr>
                <w:rFonts w:hint="default" w:ascii="Times New Roman" w:hAnsi="Times New Roman" w:eastAsia="仿宋" w:cs="Times New Roman"/>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右转组合标志，版面</w:t>
            </w:r>
            <w:r>
              <w:rPr>
                <w:rFonts w:hint="default" w:ascii="Times New Roman" w:hAnsi="Times New Roman" w:eastAsia="仿宋" w:cs="Times New Roman"/>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w:t>
            </w:r>
            <w:r>
              <w:rPr>
                <w:rFonts w:hint="default" w:ascii="Times New Roman" w:hAnsi="Times New Roman" w:eastAsia="仿宋" w:cs="Times New Roman"/>
                <w:i w:val="0"/>
                <w:iCs w:val="0"/>
                <w:color w:val="auto"/>
                <w:kern w:val="0"/>
                <w:sz w:val="24"/>
                <w:szCs w:val="24"/>
                <w:highlight w:val="none"/>
                <w:u w:val="none"/>
                <w:lang w:val="en-US" w:eastAsia="zh-CN" w:bidi="ar"/>
              </w:rPr>
              <w:t>700+</w:t>
            </w:r>
            <w:r>
              <w:rPr>
                <w:rFonts w:hint="eastAsia" w:ascii="仿宋" w:hAnsi="仿宋" w:eastAsia="仿宋" w:cs="仿宋"/>
                <w:i w:val="0"/>
                <w:iCs w:val="0"/>
                <w:color w:val="auto"/>
                <w:kern w:val="0"/>
                <w:sz w:val="24"/>
                <w:szCs w:val="24"/>
                <w:highlight w:val="none"/>
                <w:u w:val="none"/>
                <w:lang w:val="en-US" w:eastAsia="zh-CN" w:bidi="ar"/>
              </w:rPr>
              <w:t>Φ</w:t>
            </w:r>
            <w:r>
              <w:rPr>
                <w:rFonts w:hint="default" w:ascii="Times New Roman" w:hAnsi="Times New Roman" w:eastAsia="仿宋" w:cs="Times New Roman"/>
                <w:i w:val="0"/>
                <w:iCs w:val="0"/>
                <w:color w:val="auto"/>
                <w:kern w:val="0"/>
                <w:sz w:val="24"/>
                <w:szCs w:val="24"/>
                <w:highlight w:val="none"/>
                <w:u w:val="none"/>
                <w:lang w:val="en-US" w:eastAsia="zh-CN" w:bidi="ar"/>
              </w:rPr>
              <w:t>600</w:t>
            </w:r>
            <w:r>
              <w:rPr>
                <w:rFonts w:hint="eastAsia" w:ascii="仿宋" w:hAnsi="仿宋" w:eastAsia="仿宋" w:cs="仿宋"/>
                <w:i w:val="0"/>
                <w:iCs w:val="0"/>
                <w:color w:val="auto"/>
                <w:kern w:val="0"/>
                <w:sz w:val="24"/>
                <w:szCs w:val="24"/>
                <w:highlight w:val="none"/>
                <w:u w:val="none"/>
                <w:lang w:val="en-US" w:eastAsia="zh-CN" w:bidi="ar"/>
              </w:rPr>
              <w:t>，立柱</w:t>
            </w:r>
            <w:r>
              <w:rPr>
                <w:rFonts w:hint="default" w:ascii="Times New Roman" w:hAnsi="Times New Roman" w:eastAsia="仿宋" w:cs="Times New Roman"/>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Φ</w:t>
            </w:r>
            <w:r>
              <w:rPr>
                <w:rFonts w:hint="default" w:ascii="Times New Roman" w:hAnsi="Times New Roman" w:eastAsia="仿宋" w:cs="Times New Roman"/>
                <w:i w:val="0"/>
                <w:iCs w:val="0"/>
                <w:color w:val="auto"/>
                <w:kern w:val="0"/>
                <w:sz w:val="24"/>
                <w:szCs w:val="24"/>
                <w:highlight w:val="none"/>
                <w:u w:val="none"/>
                <w:lang w:val="en-US" w:eastAsia="zh-CN" w:bidi="ar"/>
              </w:rPr>
              <w:t>89</w:t>
            </w:r>
            <w:r>
              <w:rPr>
                <w:rFonts w:hint="eastAsia" w:ascii="仿宋" w:hAnsi="仿宋" w:eastAsia="仿宋" w:cs="仿宋"/>
                <w:i w:val="0"/>
                <w:iCs w:val="0"/>
                <w:color w:val="auto"/>
                <w:kern w:val="0"/>
                <w:sz w:val="24"/>
                <w:szCs w:val="24"/>
                <w:highlight w:val="none"/>
                <w:u w:val="none"/>
                <w:lang w:val="en-US" w:eastAsia="zh-CN" w:bidi="ar"/>
              </w:rPr>
              <w:t>×</w:t>
            </w:r>
            <w:r>
              <w:rPr>
                <w:rFonts w:hint="default" w:ascii="Times New Roman" w:hAnsi="Times New Roman" w:eastAsia="仿宋" w:cs="Times New Roman"/>
                <w:i w:val="0"/>
                <w:iCs w:val="0"/>
                <w:color w:val="auto"/>
                <w:kern w:val="0"/>
                <w:sz w:val="24"/>
                <w:szCs w:val="24"/>
                <w:highlight w:val="none"/>
                <w:u w:val="none"/>
                <w:lang w:val="en-US" w:eastAsia="zh-CN" w:bidi="ar"/>
              </w:rPr>
              <w:t>4.5</w:t>
            </w:r>
            <w:r>
              <w:rPr>
                <w:rFonts w:hint="eastAsia" w:ascii="仿宋" w:hAnsi="仿宋" w:eastAsia="仿宋" w:cs="仿宋"/>
                <w:i w:val="0"/>
                <w:iCs w:val="0"/>
                <w:color w:val="auto"/>
                <w:kern w:val="0"/>
                <w:sz w:val="24"/>
                <w:szCs w:val="24"/>
                <w:highlight w:val="none"/>
                <w:u w:val="none"/>
                <w:lang w:val="en-US" w:eastAsia="zh-CN" w:bidi="ar"/>
              </w:rPr>
              <w:t>×</w:t>
            </w:r>
            <w:r>
              <w:rPr>
                <w:rFonts w:hint="default" w:ascii="Times New Roman" w:hAnsi="Times New Roman" w:eastAsia="仿宋" w:cs="Times New Roman"/>
                <w:i w:val="0"/>
                <w:iCs w:val="0"/>
                <w:color w:val="auto"/>
                <w:kern w:val="0"/>
                <w:sz w:val="24"/>
                <w:szCs w:val="24"/>
                <w:highlight w:val="none"/>
                <w:u w:val="none"/>
                <w:lang w:val="en-US" w:eastAsia="zh-CN" w:bidi="ar"/>
              </w:rPr>
              <w:t>4000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46CF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B62A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819D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r>
      <w:tr w14:paraId="3CFA6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BDD2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5</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7CAB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拆迁工程</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E29C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2FDE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54A2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r>
      <w:tr w14:paraId="62B8B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677B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5.1</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99C5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拆除现状人行道</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7AF5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E7DF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25</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AD4A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r>
      <w:tr w14:paraId="252DC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E59F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5.2</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A871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拆除现状路缘石</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07B6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m</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BBDF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23</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8020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r>
      <w:tr w14:paraId="584FA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A3D2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5.3</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10FF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新建路缘石</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10D4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m</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3D9E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18</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10E9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与现状材质及尺寸一致</w:t>
            </w:r>
          </w:p>
        </w:tc>
      </w:tr>
      <w:tr w14:paraId="10642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FC8D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5.4</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3777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拆除现状路边石</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3237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m</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5BBD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5</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49CD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highlight w:val="none"/>
                <w:u w:val="none"/>
              </w:rPr>
            </w:pPr>
          </w:p>
        </w:tc>
      </w:tr>
      <w:tr w14:paraId="14ED9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4FC8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5.5</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AA3E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拆除</w:t>
            </w:r>
            <w:r>
              <w:rPr>
                <w:rFonts w:hint="eastAsia" w:ascii="仿宋" w:hAnsi="仿宋" w:eastAsia="仿宋"/>
                <w:color w:val="auto"/>
                <w:sz w:val="24"/>
                <w:highlight w:val="none"/>
                <w:lang w:val="en-US" w:eastAsia="zh-CN"/>
              </w:rPr>
              <w:t>电杆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0B7C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根</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05DE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7B89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仿宋" w:hAnsi="仿宋" w:eastAsia="仿宋" w:cs="仿宋"/>
                <w:i w:val="0"/>
                <w:iCs w:val="0"/>
                <w:color w:val="auto"/>
                <w:sz w:val="24"/>
                <w:szCs w:val="24"/>
                <w:highlight w:val="none"/>
                <w:u w:val="none"/>
                <w:lang w:val="en-US" w:eastAsia="zh-CN"/>
              </w:rPr>
            </w:pPr>
            <w:r>
              <w:rPr>
                <w:rFonts w:hint="eastAsia" w:ascii="仿宋" w:hAnsi="仿宋" w:eastAsia="仿宋" w:cs="仿宋"/>
                <w:i w:val="0"/>
                <w:iCs w:val="0"/>
                <w:color w:val="auto"/>
                <w:sz w:val="24"/>
                <w:szCs w:val="24"/>
                <w:highlight w:val="none"/>
                <w:u w:val="none"/>
                <w:lang w:val="en-US" w:eastAsia="zh-CN"/>
              </w:rPr>
              <w:t>长度约100m</w:t>
            </w:r>
          </w:p>
        </w:tc>
      </w:tr>
      <w:tr w14:paraId="63746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40BB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5.6</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1BEC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移栽人行道树</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F05A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颗</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29B3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w:t>
            </w:r>
          </w:p>
        </w:tc>
        <w:tc>
          <w:tcPr>
            <w:tcW w:w="2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1B0D9">
            <w:pPr>
              <w:keepNext w:val="0"/>
              <w:keepLines w:val="0"/>
              <w:pageBreakBefore w:val="0"/>
              <w:widowControl/>
              <w:kinsoku/>
              <w:wordWrap/>
              <w:overflowPunct/>
              <w:topLinePunct w:val="0"/>
              <w:autoSpaceDE/>
              <w:autoSpaceDN/>
              <w:bidi w:val="0"/>
              <w:adjustRightInd/>
              <w:snapToGrid/>
              <w:spacing w:line="240" w:lineRule="auto"/>
              <w:ind w:firstLine="0" w:firstLineChars="0"/>
              <w:rPr>
                <w:rFonts w:hint="eastAsia" w:ascii="宋体" w:hAnsi="宋体" w:eastAsia="宋体" w:cs="宋体"/>
                <w:i w:val="0"/>
                <w:iCs w:val="0"/>
                <w:color w:val="auto"/>
                <w:sz w:val="24"/>
                <w:szCs w:val="24"/>
                <w:highlight w:val="none"/>
                <w:u w:val="none"/>
              </w:rPr>
            </w:pPr>
          </w:p>
        </w:tc>
      </w:tr>
      <w:tr w14:paraId="32AB0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152A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5.7</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015C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拆除现状混凝土路面厚20cm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3342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239E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164</w:t>
            </w:r>
          </w:p>
        </w:tc>
        <w:tc>
          <w:tcPr>
            <w:tcW w:w="2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96052">
            <w:pPr>
              <w:keepNext w:val="0"/>
              <w:keepLines w:val="0"/>
              <w:pageBreakBefore w:val="0"/>
              <w:widowControl/>
              <w:kinsoku/>
              <w:wordWrap/>
              <w:overflowPunct/>
              <w:topLinePunct w:val="0"/>
              <w:autoSpaceDE/>
              <w:autoSpaceDN/>
              <w:bidi w:val="0"/>
              <w:adjustRightInd/>
              <w:snapToGrid/>
              <w:spacing w:line="240" w:lineRule="auto"/>
              <w:ind w:firstLine="0" w:firstLineChars="0"/>
              <w:rPr>
                <w:rFonts w:hint="eastAsia" w:ascii="宋体" w:hAnsi="宋体" w:eastAsia="宋体" w:cs="宋体"/>
                <w:i w:val="0"/>
                <w:iCs w:val="0"/>
                <w:color w:val="auto"/>
                <w:sz w:val="24"/>
                <w:szCs w:val="24"/>
                <w:highlight w:val="none"/>
                <w:u w:val="none"/>
              </w:rPr>
            </w:pPr>
          </w:p>
        </w:tc>
      </w:tr>
      <w:tr w14:paraId="424C5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42B5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7593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还建村道</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6A284">
            <w:pPr>
              <w:keepNext w:val="0"/>
              <w:keepLines w:val="0"/>
              <w:pageBreakBefore w:val="0"/>
              <w:widowControl/>
              <w:kinsoku/>
              <w:wordWrap/>
              <w:overflowPunct/>
              <w:topLinePunct w:val="0"/>
              <w:autoSpaceDE/>
              <w:autoSpaceDN/>
              <w:bidi w:val="0"/>
              <w:adjustRightInd/>
              <w:snapToGrid/>
              <w:spacing w:line="240" w:lineRule="auto"/>
              <w:ind w:firstLine="0" w:firstLineChars="0"/>
              <w:rPr>
                <w:rFonts w:hint="eastAsia" w:ascii="宋体" w:hAnsi="宋体" w:eastAsia="宋体" w:cs="宋体"/>
                <w:i w:val="0"/>
                <w:iCs w:val="0"/>
                <w:color w:val="auto"/>
                <w:sz w:val="24"/>
                <w:szCs w:val="24"/>
                <w:highlight w:val="none"/>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46D7F">
            <w:pPr>
              <w:keepNext w:val="0"/>
              <w:keepLines w:val="0"/>
              <w:pageBreakBefore w:val="0"/>
              <w:widowControl/>
              <w:kinsoku/>
              <w:wordWrap/>
              <w:overflowPunct/>
              <w:topLinePunct w:val="0"/>
              <w:autoSpaceDE/>
              <w:autoSpaceDN/>
              <w:bidi w:val="0"/>
              <w:adjustRightInd/>
              <w:snapToGrid/>
              <w:spacing w:line="240" w:lineRule="auto"/>
              <w:ind w:firstLine="0" w:firstLineChars="0"/>
              <w:rPr>
                <w:rFonts w:hint="eastAsia" w:ascii="宋体" w:hAnsi="宋体" w:eastAsia="宋体" w:cs="宋体"/>
                <w:i w:val="0"/>
                <w:iCs w:val="0"/>
                <w:color w:val="auto"/>
                <w:sz w:val="24"/>
                <w:szCs w:val="24"/>
                <w:highlight w:val="none"/>
                <w:u w:val="none"/>
              </w:rPr>
            </w:pPr>
          </w:p>
        </w:tc>
        <w:tc>
          <w:tcPr>
            <w:tcW w:w="2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697C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auto"/>
                <w:sz w:val="24"/>
                <w:szCs w:val="24"/>
                <w:highlight w:val="none"/>
                <w:u w:val="none"/>
              </w:rPr>
            </w:pPr>
          </w:p>
        </w:tc>
      </w:tr>
      <w:tr w14:paraId="0218E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EF3E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6.1</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01EF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清表厚30cm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15BC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54E6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287 </w:t>
            </w:r>
          </w:p>
        </w:tc>
        <w:tc>
          <w:tcPr>
            <w:tcW w:w="2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9406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auto"/>
                <w:sz w:val="24"/>
                <w:szCs w:val="24"/>
                <w:highlight w:val="none"/>
                <w:u w:val="none"/>
              </w:rPr>
            </w:pPr>
          </w:p>
        </w:tc>
      </w:tr>
      <w:tr w14:paraId="0F7C8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04B7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6.2</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F0C3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C30水泥混凝土</w:t>
            </w:r>
            <w:r>
              <w:rPr>
                <w:rFonts w:hint="default" w:ascii="Times New Roman" w:hAnsi="Times New Roman" w:eastAsia="仿宋" w:cs="Times New Roman"/>
                <w:i w:val="0"/>
                <w:iCs w:val="0"/>
                <w:color w:val="auto"/>
                <w:kern w:val="0"/>
                <w:sz w:val="24"/>
                <w:szCs w:val="24"/>
                <w:highlight w:val="none"/>
                <w:u w:val="none"/>
                <w:lang w:val="en-US" w:eastAsia="zh-CN" w:bidi="ar"/>
              </w:rPr>
              <w:t>200mm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0E9B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D8EA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287 </w:t>
            </w:r>
          </w:p>
        </w:tc>
        <w:tc>
          <w:tcPr>
            <w:tcW w:w="2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8AFB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auto"/>
                <w:sz w:val="24"/>
                <w:szCs w:val="24"/>
                <w:highlight w:val="none"/>
                <w:u w:val="none"/>
              </w:rPr>
            </w:pPr>
          </w:p>
        </w:tc>
      </w:tr>
      <w:tr w14:paraId="2A35F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643B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6.3</w:t>
            </w:r>
          </w:p>
        </w:tc>
        <w:tc>
          <w:tcPr>
            <w:tcW w:w="4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6FAA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碎石垫层厚</w:t>
            </w:r>
            <w:r>
              <w:rPr>
                <w:rFonts w:hint="default" w:ascii="Times New Roman" w:hAnsi="Times New Roman" w:eastAsia="仿宋" w:cs="Times New Roman"/>
                <w:i w:val="0"/>
                <w:iCs w:val="0"/>
                <w:color w:val="auto"/>
                <w:kern w:val="0"/>
                <w:sz w:val="24"/>
                <w:szCs w:val="24"/>
                <w:highlight w:val="none"/>
                <w:u w:val="none"/>
                <w:lang w:val="en-US" w:eastAsia="zh-CN" w:bidi="ar"/>
              </w:rPr>
              <w:t>100mm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B7E3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BE06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287 </w:t>
            </w:r>
          </w:p>
        </w:tc>
        <w:tc>
          <w:tcPr>
            <w:tcW w:w="2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6AF4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auto"/>
                <w:sz w:val="24"/>
                <w:szCs w:val="24"/>
                <w:highlight w:val="none"/>
                <w:u w:val="none"/>
              </w:rPr>
            </w:pPr>
          </w:p>
        </w:tc>
      </w:tr>
    </w:tbl>
    <w:p w14:paraId="3927DC3A">
      <w:pPr>
        <w:pStyle w:val="21"/>
        <w:rPr>
          <w:rFonts w:hint="eastAsia" w:ascii="仿宋" w:hAnsi="仿宋" w:eastAsia="仿宋" w:cs="仿宋"/>
          <w:color w:val="auto"/>
          <w:highlight w:val="none"/>
        </w:rPr>
      </w:pPr>
    </w:p>
    <w:p w14:paraId="08BDDC0A">
      <w:pPr>
        <w:adjustRightInd w:val="0"/>
        <w:snapToGrid w:val="0"/>
        <w:ind w:firstLine="562"/>
        <w:outlineLvl w:val="1"/>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14.2</w:t>
      </w:r>
      <w:r>
        <w:rPr>
          <w:rFonts w:hint="eastAsia" w:ascii="仿宋" w:hAnsi="仿宋" w:eastAsia="仿宋" w:cs="仿宋"/>
          <w:color w:val="auto"/>
          <w:highlight w:val="none"/>
        </w:rPr>
        <w:t>排水工程数量表</w:t>
      </w:r>
    </w:p>
    <w:tbl>
      <w:tblPr>
        <w:tblStyle w:val="23"/>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81"/>
        <w:gridCol w:w="2867"/>
        <w:gridCol w:w="1282"/>
        <w:gridCol w:w="1282"/>
        <w:gridCol w:w="1282"/>
        <w:gridCol w:w="2473"/>
      </w:tblGrid>
      <w:tr w14:paraId="76A62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1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291BB4">
            <w:pPr>
              <w:pStyle w:val="58"/>
              <w:rPr>
                <w:rFonts w:hint="eastAsia" w:ascii="Times New Roman" w:hAnsi="Times New Roman" w:eastAsia="仿宋" w:cs="Times New Roman"/>
                <w:color w:val="auto"/>
                <w:sz w:val="24"/>
                <w:highlight w:val="none"/>
                <w:lang w:val="en-US" w:eastAsia="zh-CN"/>
              </w:rPr>
            </w:pPr>
            <w:bookmarkStart w:id="90" w:name="_Toc2105"/>
            <w:r>
              <w:rPr>
                <w:rFonts w:hint="eastAsia" w:ascii="Times New Roman" w:hAnsi="Times New Roman" w:eastAsia="仿宋" w:cs="Times New Roman"/>
                <w:color w:val="auto"/>
                <w:sz w:val="24"/>
                <w:highlight w:val="none"/>
                <w:lang w:val="en-US" w:eastAsia="zh-CN"/>
              </w:rPr>
              <w:t>序号</w:t>
            </w:r>
          </w:p>
        </w:tc>
        <w:tc>
          <w:tcPr>
            <w:tcW w:w="1369" w:type="pct"/>
            <w:tcBorders>
              <w:top w:val="single" w:color="000000" w:sz="8" w:space="0"/>
              <w:left w:val="nil"/>
              <w:bottom w:val="single" w:color="000000" w:sz="8" w:space="0"/>
              <w:right w:val="single" w:color="000000" w:sz="8" w:space="0"/>
            </w:tcBorders>
            <w:shd w:val="clear" w:color="auto" w:fill="auto"/>
            <w:noWrap/>
            <w:vAlign w:val="center"/>
          </w:tcPr>
          <w:p w14:paraId="42A633C6">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 xml:space="preserve">项 </w:t>
            </w:r>
            <w:r>
              <w:rPr>
                <w:rFonts w:hint="default" w:ascii="Times New Roman" w:hAnsi="Times New Roman" w:eastAsia="仿宋" w:cs="Times New Roman"/>
                <w:color w:val="auto"/>
                <w:sz w:val="24"/>
                <w:highlight w:val="none"/>
                <w:lang w:val="en-US" w:eastAsia="zh-CN"/>
              </w:rPr>
              <w:t xml:space="preserve"> </w:t>
            </w:r>
            <w:r>
              <w:rPr>
                <w:rFonts w:hint="eastAsia" w:ascii="Times New Roman" w:hAnsi="Times New Roman" w:eastAsia="仿宋" w:cs="Times New Roman"/>
                <w:color w:val="auto"/>
                <w:sz w:val="24"/>
                <w:highlight w:val="none"/>
                <w:lang w:val="en-US" w:eastAsia="zh-CN"/>
              </w:rPr>
              <w:t xml:space="preserve">目 </w:t>
            </w:r>
            <w:r>
              <w:rPr>
                <w:rFonts w:hint="default" w:ascii="Times New Roman" w:hAnsi="Times New Roman" w:eastAsia="仿宋" w:cs="Times New Roman"/>
                <w:color w:val="auto"/>
                <w:sz w:val="24"/>
                <w:highlight w:val="none"/>
                <w:lang w:val="en-US" w:eastAsia="zh-CN"/>
              </w:rPr>
              <w:t xml:space="preserve"> </w:t>
            </w:r>
            <w:r>
              <w:rPr>
                <w:rFonts w:hint="eastAsia" w:ascii="Times New Roman" w:hAnsi="Times New Roman" w:eastAsia="仿宋" w:cs="Times New Roman"/>
                <w:color w:val="auto"/>
                <w:sz w:val="24"/>
                <w:highlight w:val="none"/>
                <w:lang w:val="en-US" w:eastAsia="zh-CN"/>
              </w:rPr>
              <w:t xml:space="preserve">名 </w:t>
            </w:r>
            <w:r>
              <w:rPr>
                <w:rFonts w:hint="default" w:ascii="Times New Roman" w:hAnsi="Times New Roman" w:eastAsia="仿宋" w:cs="Times New Roman"/>
                <w:color w:val="auto"/>
                <w:sz w:val="24"/>
                <w:highlight w:val="none"/>
                <w:lang w:val="en-US" w:eastAsia="zh-CN"/>
              </w:rPr>
              <w:t xml:space="preserve"> </w:t>
            </w:r>
            <w:r>
              <w:rPr>
                <w:rFonts w:hint="eastAsia" w:ascii="Times New Roman" w:hAnsi="Times New Roman" w:eastAsia="仿宋" w:cs="Times New Roman"/>
                <w:color w:val="auto"/>
                <w:sz w:val="24"/>
                <w:highlight w:val="none"/>
                <w:lang w:val="en-US" w:eastAsia="zh-CN"/>
              </w:rPr>
              <w:t>称</w:t>
            </w:r>
          </w:p>
        </w:tc>
        <w:tc>
          <w:tcPr>
            <w:tcW w:w="612" w:type="pct"/>
            <w:tcBorders>
              <w:top w:val="single" w:color="000000" w:sz="8" w:space="0"/>
              <w:left w:val="nil"/>
              <w:bottom w:val="single" w:color="000000" w:sz="8" w:space="0"/>
              <w:right w:val="single" w:color="000000" w:sz="8" w:space="0"/>
            </w:tcBorders>
            <w:shd w:val="clear" w:color="auto" w:fill="auto"/>
            <w:noWrap/>
            <w:vAlign w:val="center"/>
          </w:tcPr>
          <w:p w14:paraId="16854D89">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单位</w:t>
            </w:r>
          </w:p>
        </w:tc>
        <w:tc>
          <w:tcPr>
            <w:tcW w:w="612" w:type="pct"/>
            <w:tcBorders>
              <w:top w:val="single" w:color="000000" w:sz="8" w:space="0"/>
              <w:left w:val="nil"/>
              <w:bottom w:val="single" w:color="000000" w:sz="8" w:space="0"/>
              <w:right w:val="single" w:color="000000" w:sz="8" w:space="0"/>
            </w:tcBorders>
            <w:shd w:val="clear" w:color="auto" w:fill="auto"/>
            <w:noWrap/>
            <w:vAlign w:val="center"/>
          </w:tcPr>
          <w:p w14:paraId="6E49A2BA">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规格</w:t>
            </w:r>
          </w:p>
        </w:tc>
        <w:tc>
          <w:tcPr>
            <w:tcW w:w="612" w:type="pct"/>
            <w:tcBorders>
              <w:top w:val="single" w:color="000000" w:sz="8" w:space="0"/>
              <w:left w:val="nil"/>
              <w:bottom w:val="single" w:color="000000" w:sz="8" w:space="0"/>
              <w:right w:val="single" w:color="000000" w:sz="8" w:space="0"/>
            </w:tcBorders>
            <w:shd w:val="clear" w:color="auto" w:fill="auto"/>
            <w:noWrap/>
            <w:vAlign w:val="center"/>
          </w:tcPr>
          <w:p w14:paraId="737C3BD5">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数量</w:t>
            </w:r>
          </w:p>
        </w:tc>
        <w:tc>
          <w:tcPr>
            <w:tcW w:w="1181" w:type="pct"/>
            <w:tcBorders>
              <w:top w:val="single" w:color="000000" w:sz="8" w:space="0"/>
              <w:left w:val="nil"/>
              <w:bottom w:val="single" w:color="000000" w:sz="8" w:space="0"/>
              <w:right w:val="single" w:color="000000" w:sz="8" w:space="0"/>
            </w:tcBorders>
            <w:shd w:val="clear" w:color="auto" w:fill="auto"/>
            <w:noWrap/>
            <w:vAlign w:val="center"/>
          </w:tcPr>
          <w:p w14:paraId="6D5964A9">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备注</w:t>
            </w:r>
          </w:p>
        </w:tc>
      </w:tr>
      <w:tr w14:paraId="4941C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12" w:type="pct"/>
            <w:tcBorders>
              <w:top w:val="nil"/>
              <w:left w:val="single" w:color="000000" w:sz="8" w:space="0"/>
              <w:bottom w:val="single" w:color="000000" w:sz="8" w:space="0"/>
              <w:right w:val="single" w:color="000000" w:sz="8" w:space="0"/>
            </w:tcBorders>
            <w:shd w:val="clear" w:color="auto" w:fill="auto"/>
            <w:noWrap/>
            <w:vAlign w:val="center"/>
          </w:tcPr>
          <w:p w14:paraId="0C311CB4">
            <w:pPr>
              <w:pStyle w:val="58"/>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1</w:t>
            </w:r>
          </w:p>
        </w:tc>
        <w:tc>
          <w:tcPr>
            <w:tcW w:w="1369" w:type="pct"/>
            <w:tcBorders>
              <w:top w:val="nil"/>
              <w:left w:val="nil"/>
              <w:bottom w:val="single" w:color="000000" w:sz="8" w:space="0"/>
              <w:right w:val="single" w:color="000000" w:sz="8" w:space="0"/>
            </w:tcBorders>
            <w:shd w:val="clear" w:color="auto" w:fill="auto"/>
            <w:noWrap/>
            <w:vAlign w:val="center"/>
          </w:tcPr>
          <w:p w14:paraId="5B75FE0F">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新建污水管</w:t>
            </w:r>
          </w:p>
        </w:tc>
        <w:tc>
          <w:tcPr>
            <w:tcW w:w="612" w:type="pct"/>
            <w:tcBorders>
              <w:top w:val="nil"/>
              <w:left w:val="nil"/>
              <w:bottom w:val="single" w:color="000000" w:sz="8" w:space="0"/>
              <w:right w:val="single" w:color="000000" w:sz="8" w:space="0"/>
            </w:tcBorders>
            <w:shd w:val="clear" w:color="auto" w:fill="auto"/>
            <w:noWrap/>
            <w:vAlign w:val="center"/>
          </w:tcPr>
          <w:p w14:paraId="41C68F70">
            <w:pPr>
              <w:pStyle w:val="58"/>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m</w:t>
            </w:r>
          </w:p>
        </w:tc>
        <w:tc>
          <w:tcPr>
            <w:tcW w:w="612" w:type="pct"/>
            <w:tcBorders>
              <w:top w:val="nil"/>
              <w:left w:val="nil"/>
              <w:bottom w:val="single" w:color="000000" w:sz="8" w:space="0"/>
              <w:right w:val="single" w:color="000000" w:sz="8" w:space="0"/>
            </w:tcBorders>
            <w:shd w:val="clear" w:color="auto" w:fill="auto"/>
            <w:noWrap/>
            <w:vAlign w:val="center"/>
          </w:tcPr>
          <w:p w14:paraId="78AF4606">
            <w:pPr>
              <w:pStyle w:val="58"/>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d400</w:t>
            </w:r>
          </w:p>
        </w:tc>
        <w:tc>
          <w:tcPr>
            <w:tcW w:w="612" w:type="pct"/>
            <w:tcBorders>
              <w:top w:val="nil"/>
              <w:left w:val="nil"/>
              <w:bottom w:val="single" w:color="000000" w:sz="8" w:space="0"/>
              <w:right w:val="single" w:color="000000" w:sz="8" w:space="0"/>
            </w:tcBorders>
            <w:shd w:val="clear" w:color="auto" w:fill="auto"/>
            <w:noWrap/>
            <w:vAlign w:val="center"/>
          </w:tcPr>
          <w:p w14:paraId="45DDD494">
            <w:pPr>
              <w:pStyle w:val="58"/>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155</w:t>
            </w:r>
          </w:p>
        </w:tc>
        <w:tc>
          <w:tcPr>
            <w:tcW w:w="1181" w:type="pct"/>
            <w:tcBorders>
              <w:top w:val="nil"/>
              <w:left w:val="nil"/>
              <w:bottom w:val="single" w:color="000000" w:sz="8" w:space="0"/>
              <w:right w:val="single" w:color="000000" w:sz="8" w:space="0"/>
            </w:tcBorders>
            <w:shd w:val="clear" w:color="auto" w:fill="auto"/>
            <w:noWrap/>
            <w:vAlign w:val="center"/>
          </w:tcPr>
          <w:p w14:paraId="4D4EACC9">
            <w:pPr>
              <w:pStyle w:val="58"/>
              <w:rPr>
                <w:rFonts w:hint="eastAsia" w:ascii="Times New Roman" w:hAnsi="Times New Roman" w:eastAsia="仿宋" w:cs="Times New Roman"/>
                <w:color w:val="auto"/>
                <w:sz w:val="24"/>
                <w:highlight w:val="none"/>
                <w:lang w:val="en-US" w:eastAsia="zh-CN"/>
              </w:rPr>
            </w:pPr>
          </w:p>
        </w:tc>
      </w:tr>
      <w:tr w14:paraId="4B457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12" w:type="pct"/>
            <w:tcBorders>
              <w:top w:val="nil"/>
              <w:left w:val="single" w:color="000000" w:sz="8" w:space="0"/>
              <w:bottom w:val="single" w:color="000000" w:sz="8" w:space="0"/>
              <w:right w:val="single" w:color="000000" w:sz="8" w:space="0"/>
            </w:tcBorders>
            <w:shd w:val="clear" w:color="auto" w:fill="auto"/>
            <w:noWrap/>
            <w:vAlign w:val="center"/>
          </w:tcPr>
          <w:p w14:paraId="42BCC7A3">
            <w:pPr>
              <w:pStyle w:val="58"/>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2</w:t>
            </w:r>
          </w:p>
        </w:tc>
        <w:tc>
          <w:tcPr>
            <w:tcW w:w="1369" w:type="pct"/>
            <w:tcBorders>
              <w:top w:val="nil"/>
              <w:left w:val="nil"/>
              <w:bottom w:val="single" w:color="000000" w:sz="8" w:space="0"/>
              <w:right w:val="single" w:color="000000" w:sz="8" w:space="0"/>
            </w:tcBorders>
            <w:shd w:val="clear" w:color="auto" w:fill="auto"/>
            <w:noWrap/>
            <w:vAlign w:val="center"/>
          </w:tcPr>
          <w:p w14:paraId="6443C0BB">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新建排水管</w:t>
            </w:r>
          </w:p>
        </w:tc>
        <w:tc>
          <w:tcPr>
            <w:tcW w:w="612" w:type="pct"/>
            <w:tcBorders>
              <w:top w:val="nil"/>
              <w:left w:val="nil"/>
              <w:bottom w:val="single" w:color="000000" w:sz="8" w:space="0"/>
              <w:right w:val="single" w:color="000000" w:sz="8" w:space="0"/>
            </w:tcBorders>
            <w:shd w:val="clear" w:color="auto" w:fill="auto"/>
            <w:noWrap/>
            <w:vAlign w:val="center"/>
          </w:tcPr>
          <w:p w14:paraId="62C5C5FC">
            <w:pPr>
              <w:pStyle w:val="58"/>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m</w:t>
            </w:r>
          </w:p>
        </w:tc>
        <w:tc>
          <w:tcPr>
            <w:tcW w:w="612" w:type="pct"/>
            <w:tcBorders>
              <w:top w:val="nil"/>
              <w:left w:val="nil"/>
              <w:bottom w:val="single" w:color="000000" w:sz="8" w:space="0"/>
              <w:right w:val="single" w:color="000000" w:sz="8" w:space="0"/>
            </w:tcBorders>
            <w:shd w:val="clear" w:color="auto" w:fill="auto"/>
            <w:noWrap/>
            <w:vAlign w:val="center"/>
          </w:tcPr>
          <w:p w14:paraId="241007F1">
            <w:pPr>
              <w:pStyle w:val="58"/>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d600</w:t>
            </w:r>
          </w:p>
        </w:tc>
        <w:tc>
          <w:tcPr>
            <w:tcW w:w="612" w:type="pct"/>
            <w:tcBorders>
              <w:top w:val="nil"/>
              <w:left w:val="nil"/>
              <w:bottom w:val="single" w:color="000000" w:sz="8" w:space="0"/>
              <w:right w:val="single" w:color="000000" w:sz="8" w:space="0"/>
            </w:tcBorders>
            <w:shd w:val="clear" w:color="auto" w:fill="auto"/>
            <w:noWrap/>
            <w:vAlign w:val="center"/>
          </w:tcPr>
          <w:p w14:paraId="03462455">
            <w:pPr>
              <w:pStyle w:val="58"/>
              <w:rPr>
                <w:rFonts w:hint="default" w:ascii="Times New Roman" w:hAnsi="Times New Roman" w:eastAsia="仿宋" w:cs="Times New Roman"/>
                <w:color w:val="auto"/>
                <w:sz w:val="24"/>
                <w:highlight w:val="none"/>
                <w:lang w:val="en-US" w:eastAsia="zh-CN"/>
              </w:rPr>
            </w:pPr>
            <w:r>
              <w:rPr>
                <w:rFonts w:hint="eastAsia" w:ascii="Times New Roman" w:eastAsia="仿宋" w:cs="Times New Roman"/>
                <w:color w:val="auto"/>
                <w:sz w:val="24"/>
                <w:highlight w:val="none"/>
                <w:lang w:val="en-US" w:eastAsia="zh-CN"/>
              </w:rPr>
              <w:t>21</w:t>
            </w:r>
          </w:p>
        </w:tc>
        <w:tc>
          <w:tcPr>
            <w:tcW w:w="1181" w:type="pct"/>
            <w:tcBorders>
              <w:top w:val="nil"/>
              <w:left w:val="nil"/>
              <w:bottom w:val="single" w:color="000000" w:sz="8" w:space="0"/>
              <w:right w:val="single" w:color="000000" w:sz="8" w:space="0"/>
            </w:tcBorders>
            <w:shd w:val="clear" w:color="auto" w:fill="auto"/>
            <w:noWrap/>
            <w:vAlign w:val="center"/>
          </w:tcPr>
          <w:p w14:paraId="01D2F79B">
            <w:pPr>
              <w:pStyle w:val="58"/>
              <w:rPr>
                <w:rFonts w:hint="eastAsia" w:ascii="Times New Roman" w:hAnsi="Times New Roman" w:eastAsia="仿宋" w:cs="Times New Roman"/>
                <w:color w:val="auto"/>
                <w:sz w:val="24"/>
                <w:highlight w:val="none"/>
                <w:lang w:val="en-US" w:eastAsia="zh-CN"/>
              </w:rPr>
            </w:pPr>
          </w:p>
        </w:tc>
      </w:tr>
      <w:tr w14:paraId="04537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12" w:type="pct"/>
            <w:tcBorders>
              <w:top w:val="nil"/>
              <w:left w:val="single" w:color="000000" w:sz="8" w:space="0"/>
              <w:bottom w:val="single" w:color="000000" w:sz="8" w:space="0"/>
              <w:right w:val="single" w:color="000000" w:sz="8" w:space="0"/>
            </w:tcBorders>
            <w:shd w:val="clear" w:color="auto" w:fill="auto"/>
            <w:noWrap/>
            <w:vAlign w:val="center"/>
          </w:tcPr>
          <w:p w14:paraId="1FD2BF24">
            <w:pPr>
              <w:pStyle w:val="58"/>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3</w:t>
            </w:r>
          </w:p>
        </w:tc>
        <w:tc>
          <w:tcPr>
            <w:tcW w:w="1369" w:type="pct"/>
            <w:tcBorders>
              <w:top w:val="nil"/>
              <w:left w:val="nil"/>
              <w:bottom w:val="single" w:color="000000" w:sz="8" w:space="0"/>
              <w:right w:val="single" w:color="000000" w:sz="8" w:space="0"/>
            </w:tcBorders>
            <w:shd w:val="clear" w:color="auto" w:fill="auto"/>
            <w:noWrap/>
            <w:vAlign w:val="center"/>
          </w:tcPr>
          <w:p w14:paraId="0CA7DF8A">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普通检查井</w:t>
            </w:r>
          </w:p>
        </w:tc>
        <w:tc>
          <w:tcPr>
            <w:tcW w:w="612" w:type="pct"/>
            <w:tcBorders>
              <w:top w:val="nil"/>
              <w:left w:val="nil"/>
              <w:bottom w:val="single" w:color="000000" w:sz="8" w:space="0"/>
              <w:right w:val="single" w:color="000000" w:sz="8" w:space="0"/>
            </w:tcBorders>
            <w:shd w:val="clear" w:color="auto" w:fill="auto"/>
            <w:noWrap/>
            <w:vAlign w:val="center"/>
          </w:tcPr>
          <w:p w14:paraId="71E19622">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座</w:t>
            </w:r>
          </w:p>
        </w:tc>
        <w:tc>
          <w:tcPr>
            <w:tcW w:w="612" w:type="pct"/>
            <w:tcBorders>
              <w:top w:val="nil"/>
              <w:left w:val="nil"/>
              <w:bottom w:val="single" w:color="000000" w:sz="8" w:space="0"/>
              <w:right w:val="single" w:color="000000" w:sz="8" w:space="0"/>
            </w:tcBorders>
            <w:shd w:val="clear" w:color="auto" w:fill="auto"/>
            <w:noWrap/>
            <w:vAlign w:val="center"/>
          </w:tcPr>
          <w:p w14:paraId="66393C01">
            <w:pPr>
              <w:pStyle w:val="58"/>
              <w:rPr>
                <w:rFonts w:hint="eastAsia" w:ascii="Times New Roman" w:hAnsi="Times New Roman" w:eastAsia="仿宋" w:cs="Times New Roman"/>
                <w:color w:val="auto"/>
                <w:sz w:val="24"/>
                <w:highlight w:val="none"/>
                <w:lang w:val="en-US" w:eastAsia="zh-CN"/>
              </w:rPr>
            </w:pPr>
          </w:p>
        </w:tc>
        <w:tc>
          <w:tcPr>
            <w:tcW w:w="612" w:type="pct"/>
            <w:tcBorders>
              <w:top w:val="nil"/>
              <w:left w:val="nil"/>
              <w:bottom w:val="single" w:color="000000" w:sz="8" w:space="0"/>
              <w:right w:val="single" w:color="000000" w:sz="8" w:space="0"/>
            </w:tcBorders>
            <w:shd w:val="clear" w:color="auto" w:fill="auto"/>
            <w:noWrap/>
            <w:vAlign w:val="center"/>
          </w:tcPr>
          <w:p w14:paraId="63971DCF">
            <w:pPr>
              <w:pStyle w:val="58"/>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12</w:t>
            </w:r>
          </w:p>
        </w:tc>
        <w:tc>
          <w:tcPr>
            <w:tcW w:w="1181" w:type="pct"/>
            <w:tcBorders>
              <w:top w:val="nil"/>
              <w:left w:val="nil"/>
              <w:bottom w:val="single" w:color="000000" w:sz="8" w:space="0"/>
              <w:right w:val="single" w:color="000000" w:sz="8" w:space="0"/>
            </w:tcBorders>
            <w:shd w:val="clear" w:color="auto" w:fill="auto"/>
            <w:noWrap/>
            <w:vAlign w:val="center"/>
          </w:tcPr>
          <w:p w14:paraId="27C1C018">
            <w:pPr>
              <w:pStyle w:val="58"/>
              <w:rPr>
                <w:rFonts w:hint="eastAsia" w:ascii="Times New Roman" w:hAnsi="Times New Roman" w:eastAsia="仿宋" w:cs="Times New Roman"/>
                <w:color w:val="auto"/>
                <w:sz w:val="24"/>
                <w:highlight w:val="none"/>
                <w:lang w:val="en-US" w:eastAsia="zh-CN"/>
              </w:rPr>
            </w:pPr>
          </w:p>
        </w:tc>
      </w:tr>
      <w:tr w14:paraId="41D17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12" w:type="pct"/>
            <w:tcBorders>
              <w:top w:val="nil"/>
              <w:left w:val="single" w:color="000000" w:sz="8" w:space="0"/>
              <w:bottom w:val="single" w:color="000000" w:sz="8" w:space="0"/>
              <w:right w:val="single" w:color="000000" w:sz="8" w:space="0"/>
            </w:tcBorders>
            <w:shd w:val="clear" w:color="auto" w:fill="auto"/>
            <w:noWrap/>
            <w:vAlign w:val="center"/>
          </w:tcPr>
          <w:p w14:paraId="050C5D76">
            <w:pPr>
              <w:pStyle w:val="58"/>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4</w:t>
            </w:r>
          </w:p>
        </w:tc>
        <w:tc>
          <w:tcPr>
            <w:tcW w:w="1369" w:type="pct"/>
            <w:tcBorders>
              <w:top w:val="nil"/>
              <w:left w:val="nil"/>
              <w:bottom w:val="single" w:color="000000" w:sz="8" w:space="0"/>
              <w:right w:val="single" w:color="000000" w:sz="8" w:space="0"/>
            </w:tcBorders>
            <w:shd w:val="clear" w:color="auto" w:fill="auto"/>
            <w:noWrap/>
            <w:vAlign w:val="center"/>
          </w:tcPr>
          <w:p w14:paraId="10B946E5">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明沟接暗转转换井</w:t>
            </w:r>
          </w:p>
        </w:tc>
        <w:tc>
          <w:tcPr>
            <w:tcW w:w="612" w:type="pct"/>
            <w:tcBorders>
              <w:top w:val="nil"/>
              <w:left w:val="nil"/>
              <w:bottom w:val="single" w:color="000000" w:sz="8" w:space="0"/>
              <w:right w:val="single" w:color="000000" w:sz="8" w:space="0"/>
            </w:tcBorders>
            <w:shd w:val="clear" w:color="auto" w:fill="auto"/>
            <w:noWrap/>
            <w:vAlign w:val="center"/>
          </w:tcPr>
          <w:p w14:paraId="442EB278">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座</w:t>
            </w:r>
          </w:p>
        </w:tc>
        <w:tc>
          <w:tcPr>
            <w:tcW w:w="612" w:type="pct"/>
            <w:tcBorders>
              <w:top w:val="nil"/>
              <w:left w:val="nil"/>
              <w:bottom w:val="single" w:color="000000" w:sz="8" w:space="0"/>
              <w:right w:val="single" w:color="000000" w:sz="8" w:space="0"/>
            </w:tcBorders>
            <w:shd w:val="clear" w:color="auto" w:fill="auto"/>
            <w:noWrap/>
            <w:vAlign w:val="center"/>
          </w:tcPr>
          <w:p w14:paraId="0701F815">
            <w:pPr>
              <w:pStyle w:val="58"/>
              <w:rPr>
                <w:rFonts w:hint="eastAsia" w:ascii="Times New Roman" w:hAnsi="Times New Roman" w:eastAsia="仿宋" w:cs="Times New Roman"/>
                <w:color w:val="auto"/>
                <w:sz w:val="24"/>
                <w:highlight w:val="none"/>
                <w:lang w:val="en-US" w:eastAsia="zh-CN"/>
              </w:rPr>
            </w:pPr>
          </w:p>
        </w:tc>
        <w:tc>
          <w:tcPr>
            <w:tcW w:w="612" w:type="pct"/>
            <w:tcBorders>
              <w:top w:val="nil"/>
              <w:left w:val="nil"/>
              <w:bottom w:val="single" w:color="000000" w:sz="8" w:space="0"/>
              <w:right w:val="single" w:color="000000" w:sz="8" w:space="0"/>
            </w:tcBorders>
            <w:shd w:val="clear" w:color="auto" w:fill="auto"/>
            <w:noWrap/>
            <w:vAlign w:val="center"/>
          </w:tcPr>
          <w:p w14:paraId="78740C0E">
            <w:pPr>
              <w:pStyle w:val="58"/>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2</w:t>
            </w:r>
          </w:p>
        </w:tc>
        <w:tc>
          <w:tcPr>
            <w:tcW w:w="1181" w:type="pct"/>
            <w:tcBorders>
              <w:top w:val="nil"/>
              <w:left w:val="nil"/>
              <w:bottom w:val="single" w:color="000000" w:sz="8" w:space="0"/>
              <w:right w:val="single" w:color="000000" w:sz="8" w:space="0"/>
            </w:tcBorders>
            <w:shd w:val="clear" w:color="auto" w:fill="auto"/>
            <w:noWrap/>
            <w:vAlign w:val="center"/>
          </w:tcPr>
          <w:p w14:paraId="51B7A359">
            <w:pPr>
              <w:pStyle w:val="58"/>
              <w:rPr>
                <w:rFonts w:hint="eastAsia" w:ascii="Times New Roman" w:hAnsi="Times New Roman" w:eastAsia="仿宋" w:cs="Times New Roman"/>
                <w:color w:val="auto"/>
                <w:sz w:val="24"/>
                <w:highlight w:val="none"/>
                <w:lang w:val="en-US" w:eastAsia="zh-CN"/>
              </w:rPr>
            </w:pPr>
          </w:p>
        </w:tc>
      </w:tr>
      <w:tr w14:paraId="130D6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12" w:type="pct"/>
            <w:tcBorders>
              <w:top w:val="nil"/>
              <w:left w:val="single" w:color="000000" w:sz="8" w:space="0"/>
              <w:bottom w:val="single" w:color="000000" w:sz="8" w:space="0"/>
              <w:right w:val="single" w:color="000000" w:sz="8" w:space="0"/>
            </w:tcBorders>
            <w:shd w:val="clear" w:color="auto" w:fill="auto"/>
            <w:noWrap/>
            <w:vAlign w:val="center"/>
          </w:tcPr>
          <w:p w14:paraId="256C3B59">
            <w:pPr>
              <w:pStyle w:val="58"/>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5</w:t>
            </w:r>
          </w:p>
        </w:tc>
        <w:tc>
          <w:tcPr>
            <w:tcW w:w="1369" w:type="pct"/>
            <w:tcBorders>
              <w:top w:val="nil"/>
              <w:left w:val="nil"/>
              <w:bottom w:val="single" w:color="000000" w:sz="8" w:space="0"/>
              <w:right w:val="single" w:color="000000" w:sz="8" w:space="0"/>
            </w:tcBorders>
            <w:shd w:val="clear" w:color="auto" w:fill="auto"/>
            <w:noWrap/>
            <w:vAlign w:val="center"/>
          </w:tcPr>
          <w:p w14:paraId="570024D4">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沟槽开挖</w:t>
            </w:r>
          </w:p>
        </w:tc>
        <w:tc>
          <w:tcPr>
            <w:tcW w:w="612" w:type="pct"/>
            <w:tcBorders>
              <w:top w:val="nil"/>
              <w:left w:val="nil"/>
              <w:bottom w:val="single" w:color="000000" w:sz="8" w:space="0"/>
              <w:right w:val="single" w:color="000000" w:sz="8" w:space="0"/>
            </w:tcBorders>
            <w:shd w:val="clear" w:color="auto" w:fill="auto"/>
            <w:noWrap/>
            <w:vAlign w:val="center"/>
          </w:tcPr>
          <w:p w14:paraId="4B5D2534">
            <w:pPr>
              <w:pStyle w:val="58"/>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m</w:t>
            </w:r>
            <w:r>
              <w:rPr>
                <w:rFonts w:hint="eastAsia" w:ascii="Times New Roman" w:hAnsi="Times New Roman" w:eastAsia="仿宋" w:cs="Times New Roman"/>
                <w:color w:val="auto"/>
                <w:sz w:val="24"/>
                <w:highlight w:val="none"/>
                <w:lang w:val="en-US" w:eastAsia="zh-CN"/>
              </w:rPr>
              <w:t>³</w:t>
            </w:r>
          </w:p>
        </w:tc>
        <w:tc>
          <w:tcPr>
            <w:tcW w:w="612" w:type="pct"/>
            <w:tcBorders>
              <w:top w:val="nil"/>
              <w:left w:val="nil"/>
              <w:bottom w:val="single" w:color="000000" w:sz="8" w:space="0"/>
              <w:right w:val="single" w:color="000000" w:sz="8" w:space="0"/>
            </w:tcBorders>
            <w:shd w:val="clear" w:color="auto" w:fill="auto"/>
            <w:noWrap/>
            <w:vAlign w:val="center"/>
          </w:tcPr>
          <w:p w14:paraId="38F922F9">
            <w:pPr>
              <w:pStyle w:val="58"/>
              <w:rPr>
                <w:rFonts w:hint="eastAsia" w:ascii="Times New Roman" w:hAnsi="Times New Roman" w:eastAsia="仿宋" w:cs="Times New Roman"/>
                <w:color w:val="auto"/>
                <w:sz w:val="24"/>
                <w:highlight w:val="none"/>
                <w:lang w:val="en-US" w:eastAsia="zh-CN"/>
              </w:rPr>
            </w:pPr>
          </w:p>
        </w:tc>
        <w:tc>
          <w:tcPr>
            <w:tcW w:w="612" w:type="pct"/>
            <w:tcBorders>
              <w:top w:val="nil"/>
              <w:left w:val="nil"/>
              <w:bottom w:val="single" w:color="000000" w:sz="8" w:space="0"/>
              <w:right w:val="single" w:color="000000" w:sz="8" w:space="0"/>
            </w:tcBorders>
            <w:shd w:val="clear" w:color="auto" w:fill="auto"/>
            <w:noWrap/>
            <w:vAlign w:val="center"/>
          </w:tcPr>
          <w:p w14:paraId="334B27C3">
            <w:pPr>
              <w:pStyle w:val="58"/>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1171</w:t>
            </w:r>
          </w:p>
        </w:tc>
        <w:tc>
          <w:tcPr>
            <w:tcW w:w="1181" w:type="pct"/>
            <w:tcBorders>
              <w:top w:val="nil"/>
              <w:left w:val="nil"/>
              <w:bottom w:val="single" w:color="000000" w:sz="8" w:space="0"/>
              <w:right w:val="single" w:color="000000" w:sz="8" w:space="0"/>
            </w:tcBorders>
            <w:shd w:val="clear" w:color="auto" w:fill="auto"/>
            <w:noWrap/>
            <w:vAlign w:val="center"/>
          </w:tcPr>
          <w:p w14:paraId="4968C2A1">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土石比按</w:t>
            </w:r>
            <w:r>
              <w:rPr>
                <w:rFonts w:hint="default" w:ascii="Times New Roman" w:hAnsi="Times New Roman" w:eastAsia="仿宋" w:cs="Times New Roman"/>
                <w:color w:val="auto"/>
                <w:sz w:val="24"/>
                <w:highlight w:val="none"/>
                <w:lang w:val="en-US" w:eastAsia="zh-CN"/>
              </w:rPr>
              <w:t>1:9</w:t>
            </w:r>
            <w:r>
              <w:rPr>
                <w:rFonts w:hint="eastAsia" w:ascii="Times New Roman" w:hAnsi="Times New Roman" w:eastAsia="仿宋" w:cs="Times New Roman"/>
                <w:color w:val="auto"/>
                <w:sz w:val="24"/>
                <w:highlight w:val="none"/>
                <w:lang w:val="en-US" w:eastAsia="zh-CN"/>
              </w:rPr>
              <w:t>计</w:t>
            </w:r>
          </w:p>
        </w:tc>
      </w:tr>
      <w:tr w14:paraId="49E37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12" w:type="pct"/>
            <w:tcBorders>
              <w:top w:val="nil"/>
              <w:left w:val="single" w:color="000000" w:sz="8" w:space="0"/>
              <w:bottom w:val="single" w:color="000000" w:sz="8" w:space="0"/>
              <w:right w:val="single" w:color="000000" w:sz="8" w:space="0"/>
            </w:tcBorders>
            <w:shd w:val="clear" w:color="auto" w:fill="auto"/>
            <w:noWrap/>
            <w:vAlign w:val="center"/>
          </w:tcPr>
          <w:p w14:paraId="587904A5">
            <w:pPr>
              <w:pStyle w:val="58"/>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6</w:t>
            </w:r>
          </w:p>
        </w:tc>
        <w:tc>
          <w:tcPr>
            <w:tcW w:w="1369" w:type="pct"/>
            <w:tcBorders>
              <w:top w:val="nil"/>
              <w:left w:val="nil"/>
              <w:bottom w:val="single" w:color="000000" w:sz="8" w:space="0"/>
              <w:right w:val="single" w:color="000000" w:sz="8" w:space="0"/>
            </w:tcBorders>
            <w:shd w:val="clear" w:color="auto" w:fill="auto"/>
            <w:noWrap/>
            <w:vAlign w:val="center"/>
          </w:tcPr>
          <w:p w14:paraId="1A2BF51C">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沟槽回填</w:t>
            </w:r>
          </w:p>
        </w:tc>
        <w:tc>
          <w:tcPr>
            <w:tcW w:w="612" w:type="pct"/>
            <w:tcBorders>
              <w:top w:val="nil"/>
              <w:left w:val="nil"/>
              <w:bottom w:val="single" w:color="000000" w:sz="8" w:space="0"/>
              <w:right w:val="single" w:color="000000" w:sz="8" w:space="0"/>
            </w:tcBorders>
            <w:shd w:val="clear" w:color="auto" w:fill="auto"/>
            <w:noWrap/>
            <w:vAlign w:val="center"/>
          </w:tcPr>
          <w:p w14:paraId="36FFA15C">
            <w:pPr>
              <w:pStyle w:val="58"/>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m</w:t>
            </w:r>
            <w:r>
              <w:rPr>
                <w:rFonts w:hint="eastAsia" w:ascii="Times New Roman" w:hAnsi="Times New Roman" w:eastAsia="仿宋" w:cs="Times New Roman"/>
                <w:color w:val="auto"/>
                <w:sz w:val="24"/>
                <w:highlight w:val="none"/>
                <w:lang w:val="en-US" w:eastAsia="zh-CN"/>
              </w:rPr>
              <w:t>³</w:t>
            </w:r>
          </w:p>
        </w:tc>
        <w:tc>
          <w:tcPr>
            <w:tcW w:w="612" w:type="pct"/>
            <w:tcBorders>
              <w:top w:val="nil"/>
              <w:left w:val="nil"/>
              <w:bottom w:val="single" w:color="000000" w:sz="8" w:space="0"/>
              <w:right w:val="single" w:color="000000" w:sz="8" w:space="0"/>
            </w:tcBorders>
            <w:shd w:val="clear" w:color="auto" w:fill="auto"/>
            <w:noWrap/>
            <w:vAlign w:val="center"/>
          </w:tcPr>
          <w:p w14:paraId="50446D7A">
            <w:pPr>
              <w:pStyle w:val="58"/>
              <w:rPr>
                <w:rFonts w:hint="eastAsia" w:ascii="Times New Roman" w:hAnsi="Times New Roman" w:eastAsia="仿宋" w:cs="Times New Roman"/>
                <w:color w:val="auto"/>
                <w:sz w:val="24"/>
                <w:highlight w:val="none"/>
                <w:lang w:val="en-US" w:eastAsia="zh-CN"/>
              </w:rPr>
            </w:pPr>
          </w:p>
        </w:tc>
        <w:tc>
          <w:tcPr>
            <w:tcW w:w="612" w:type="pct"/>
            <w:tcBorders>
              <w:top w:val="nil"/>
              <w:left w:val="nil"/>
              <w:bottom w:val="single" w:color="000000" w:sz="8" w:space="0"/>
              <w:right w:val="single" w:color="000000" w:sz="8" w:space="0"/>
            </w:tcBorders>
            <w:shd w:val="clear" w:color="auto" w:fill="auto"/>
            <w:noWrap/>
            <w:vAlign w:val="center"/>
          </w:tcPr>
          <w:p w14:paraId="5FCFE4B6">
            <w:pPr>
              <w:pStyle w:val="58"/>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1077</w:t>
            </w:r>
          </w:p>
        </w:tc>
        <w:tc>
          <w:tcPr>
            <w:tcW w:w="1181" w:type="pct"/>
            <w:tcBorders>
              <w:top w:val="nil"/>
              <w:left w:val="nil"/>
              <w:bottom w:val="single" w:color="000000" w:sz="8" w:space="0"/>
              <w:right w:val="single" w:color="000000" w:sz="8" w:space="0"/>
            </w:tcBorders>
            <w:shd w:val="clear" w:color="auto" w:fill="auto"/>
            <w:noWrap/>
            <w:vAlign w:val="center"/>
          </w:tcPr>
          <w:p w14:paraId="43F993FA">
            <w:pPr>
              <w:pStyle w:val="58"/>
              <w:rPr>
                <w:rFonts w:hint="eastAsia" w:ascii="Times New Roman" w:hAnsi="Times New Roman" w:eastAsia="仿宋" w:cs="Times New Roman"/>
                <w:color w:val="auto"/>
                <w:sz w:val="24"/>
                <w:highlight w:val="none"/>
                <w:lang w:val="en-US" w:eastAsia="zh-CN"/>
              </w:rPr>
            </w:pPr>
          </w:p>
        </w:tc>
      </w:tr>
      <w:tr w14:paraId="00123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12" w:type="pct"/>
            <w:tcBorders>
              <w:top w:val="nil"/>
              <w:left w:val="single" w:color="000000" w:sz="8" w:space="0"/>
              <w:bottom w:val="single" w:color="000000" w:sz="8" w:space="0"/>
              <w:right w:val="single" w:color="000000" w:sz="8" w:space="0"/>
            </w:tcBorders>
            <w:shd w:val="clear" w:color="auto" w:fill="auto"/>
            <w:noWrap/>
            <w:vAlign w:val="center"/>
          </w:tcPr>
          <w:p w14:paraId="44C23F3D">
            <w:pPr>
              <w:pStyle w:val="58"/>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7</w:t>
            </w:r>
          </w:p>
        </w:tc>
        <w:tc>
          <w:tcPr>
            <w:tcW w:w="1369" w:type="pct"/>
            <w:tcBorders>
              <w:top w:val="nil"/>
              <w:left w:val="nil"/>
              <w:bottom w:val="single" w:color="000000" w:sz="8" w:space="0"/>
              <w:right w:val="single" w:color="000000" w:sz="8" w:space="0"/>
            </w:tcBorders>
            <w:shd w:val="clear" w:color="auto" w:fill="auto"/>
            <w:noWrap/>
            <w:vAlign w:val="center"/>
          </w:tcPr>
          <w:p w14:paraId="04311B3A">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弃方</w:t>
            </w:r>
          </w:p>
        </w:tc>
        <w:tc>
          <w:tcPr>
            <w:tcW w:w="612" w:type="pct"/>
            <w:tcBorders>
              <w:top w:val="nil"/>
              <w:left w:val="nil"/>
              <w:bottom w:val="single" w:color="000000" w:sz="8" w:space="0"/>
              <w:right w:val="single" w:color="000000" w:sz="8" w:space="0"/>
            </w:tcBorders>
            <w:shd w:val="clear" w:color="auto" w:fill="auto"/>
            <w:noWrap/>
            <w:vAlign w:val="center"/>
          </w:tcPr>
          <w:p w14:paraId="057E63F7">
            <w:pPr>
              <w:pStyle w:val="58"/>
              <w:rPr>
                <w:rFonts w:hint="eastAsia" w:ascii="Times New Roman" w:hAnsi="Times New Roman" w:eastAsia="仿宋" w:cs="Times New Roman"/>
                <w:color w:val="auto"/>
                <w:sz w:val="24"/>
                <w:highlight w:val="none"/>
                <w:lang w:val="en-US" w:eastAsia="zh-CN"/>
              </w:rPr>
            </w:pPr>
          </w:p>
        </w:tc>
        <w:tc>
          <w:tcPr>
            <w:tcW w:w="612" w:type="pct"/>
            <w:tcBorders>
              <w:top w:val="nil"/>
              <w:left w:val="nil"/>
              <w:bottom w:val="single" w:color="000000" w:sz="8" w:space="0"/>
              <w:right w:val="single" w:color="000000" w:sz="8" w:space="0"/>
            </w:tcBorders>
            <w:shd w:val="clear" w:color="auto" w:fill="auto"/>
            <w:noWrap/>
            <w:vAlign w:val="center"/>
          </w:tcPr>
          <w:p w14:paraId="6B3958F9">
            <w:pPr>
              <w:pStyle w:val="58"/>
              <w:rPr>
                <w:rFonts w:hint="eastAsia" w:ascii="Times New Roman" w:hAnsi="Times New Roman" w:eastAsia="仿宋" w:cs="Times New Roman"/>
                <w:color w:val="auto"/>
                <w:sz w:val="24"/>
                <w:highlight w:val="none"/>
                <w:lang w:val="en-US" w:eastAsia="zh-CN"/>
              </w:rPr>
            </w:pPr>
          </w:p>
        </w:tc>
        <w:tc>
          <w:tcPr>
            <w:tcW w:w="612" w:type="pct"/>
            <w:tcBorders>
              <w:top w:val="nil"/>
              <w:left w:val="nil"/>
              <w:bottom w:val="single" w:color="000000" w:sz="8" w:space="0"/>
              <w:right w:val="single" w:color="000000" w:sz="8" w:space="0"/>
            </w:tcBorders>
            <w:shd w:val="clear" w:color="auto" w:fill="auto"/>
            <w:noWrap/>
            <w:vAlign w:val="center"/>
          </w:tcPr>
          <w:p w14:paraId="78BBB967">
            <w:pPr>
              <w:pStyle w:val="58"/>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94</w:t>
            </w:r>
          </w:p>
        </w:tc>
        <w:tc>
          <w:tcPr>
            <w:tcW w:w="1181" w:type="pct"/>
            <w:tcBorders>
              <w:top w:val="nil"/>
              <w:left w:val="nil"/>
              <w:bottom w:val="single" w:color="000000" w:sz="8" w:space="0"/>
              <w:right w:val="single" w:color="000000" w:sz="8" w:space="0"/>
            </w:tcBorders>
            <w:shd w:val="clear" w:color="auto" w:fill="auto"/>
            <w:noWrap/>
            <w:vAlign w:val="center"/>
          </w:tcPr>
          <w:p w14:paraId="1FFCE543">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运距暂按</w:t>
            </w:r>
            <w:r>
              <w:rPr>
                <w:rFonts w:hint="default" w:ascii="Times New Roman" w:hAnsi="Times New Roman" w:eastAsia="仿宋" w:cs="Times New Roman"/>
                <w:color w:val="auto"/>
                <w:sz w:val="24"/>
                <w:highlight w:val="none"/>
                <w:lang w:val="en-US" w:eastAsia="zh-CN"/>
              </w:rPr>
              <w:t>20km</w:t>
            </w:r>
            <w:r>
              <w:rPr>
                <w:rFonts w:hint="eastAsia" w:ascii="Times New Roman" w:hAnsi="Times New Roman" w:eastAsia="仿宋" w:cs="Times New Roman"/>
                <w:color w:val="auto"/>
                <w:sz w:val="24"/>
                <w:highlight w:val="none"/>
                <w:lang w:val="en-US" w:eastAsia="zh-CN"/>
              </w:rPr>
              <w:t>计</w:t>
            </w:r>
          </w:p>
        </w:tc>
      </w:tr>
      <w:tr w14:paraId="39424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12" w:type="pct"/>
            <w:tcBorders>
              <w:top w:val="nil"/>
              <w:left w:val="single" w:color="000000" w:sz="8" w:space="0"/>
              <w:bottom w:val="single" w:color="000000" w:sz="8" w:space="0"/>
              <w:right w:val="single" w:color="000000" w:sz="8" w:space="0"/>
            </w:tcBorders>
            <w:shd w:val="clear" w:color="auto" w:fill="auto"/>
            <w:noWrap/>
            <w:vAlign w:val="center"/>
          </w:tcPr>
          <w:p w14:paraId="0147CB48">
            <w:pPr>
              <w:pStyle w:val="58"/>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8</w:t>
            </w:r>
          </w:p>
        </w:tc>
        <w:tc>
          <w:tcPr>
            <w:tcW w:w="1369" w:type="pct"/>
            <w:tcBorders>
              <w:top w:val="nil"/>
              <w:left w:val="nil"/>
              <w:bottom w:val="single" w:color="000000" w:sz="8" w:space="0"/>
              <w:right w:val="single" w:color="000000" w:sz="8" w:space="0"/>
            </w:tcBorders>
            <w:shd w:val="clear" w:color="auto" w:fill="auto"/>
            <w:noWrap/>
            <w:vAlign w:val="center"/>
          </w:tcPr>
          <w:p w14:paraId="6E812264">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车行道下检查井加固</w:t>
            </w:r>
          </w:p>
        </w:tc>
        <w:tc>
          <w:tcPr>
            <w:tcW w:w="612" w:type="pct"/>
            <w:tcBorders>
              <w:top w:val="nil"/>
              <w:left w:val="nil"/>
              <w:bottom w:val="single" w:color="000000" w:sz="8" w:space="0"/>
              <w:right w:val="single" w:color="000000" w:sz="8" w:space="0"/>
            </w:tcBorders>
            <w:shd w:val="clear" w:color="auto" w:fill="auto"/>
            <w:noWrap/>
            <w:vAlign w:val="center"/>
          </w:tcPr>
          <w:p w14:paraId="29235FEB">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座</w:t>
            </w:r>
          </w:p>
        </w:tc>
        <w:tc>
          <w:tcPr>
            <w:tcW w:w="612" w:type="pct"/>
            <w:tcBorders>
              <w:top w:val="nil"/>
              <w:left w:val="nil"/>
              <w:bottom w:val="single" w:color="000000" w:sz="8" w:space="0"/>
              <w:right w:val="single" w:color="000000" w:sz="8" w:space="0"/>
            </w:tcBorders>
            <w:shd w:val="clear" w:color="auto" w:fill="auto"/>
            <w:noWrap/>
            <w:vAlign w:val="center"/>
          </w:tcPr>
          <w:p w14:paraId="24DF7E9D">
            <w:pPr>
              <w:pStyle w:val="58"/>
              <w:rPr>
                <w:rFonts w:hint="eastAsia" w:ascii="Times New Roman" w:hAnsi="Times New Roman" w:eastAsia="仿宋" w:cs="Times New Roman"/>
                <w:color w:val="auto"/>
                <w:sz w:val="24"/>
                <w:highlight w:val="none"/>
                <w:lang w:val="en-US" w:eastAsia="zh-CN"/>
              </w:rPr>
            </w:pPr>
          </w:p>
        </w:tc>
        <w:tc>
          <w:tcPr>
            <w:tcW w:w="612" w:type="pct"/>
            <w:tcBorders>
              <w:top w:val="nil"/>
              <w:left w:val="nil"/>
              <w:bottom w:val="single" w:color="000000" w:sz="8" w:space="0"/>
              <w:right w:val="single" w:color="000000" w:sz="8" w:space="0"/>
            </w:tcBorders>
            <w:shd w:val="clear" w:color="auto" w:fill="auto"/>
            <w:noWrap/>
            <w:vAlign w:val="center"/>
          </w:tcPr>
          <w:p w14:paraId="38343E39">
            <w:pPr>
              <w:pStyle w:val="58"/>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12</w:t>
            </w:r>
          </w:p>
        </w:tc>
        <w:tc>
          <w:tcPr>
            <w:tcW w:w="1181" w:type="pct"/>
            <w:tcBorders>
              <w:top w:val="nil"/>
              <w:left w:val="nil"/>
              <w:bottom w:val="single" w:color="000000" w:sz="8" w:space="0"/>
              <w:right w:val="single" w:color="000000" w:sz="8" w:space="0"/>
            </w:tcBorders>
            <w:shd w:val="clear" w:color="auto" w:fill="auto"/>
            <w:noWrap/>
            <w:vAlign w:val="center"/>
          </w:tcPr>
          <w:p w14:paraId="40B3C90A">
            <w:pPr>
              <w:pStyle w:val="58"/>
              <w:rPr>
                <w:rFonts w:hint="eastAsia" w:ascii="Times New Roman" w:hAnsi="Times New Roman" w:eastAsia="仿宋" w:cs="Times New Roman"/>
                <w:color w:val="auto"/>
                <w:sz w:val="24"/>
                <w:highlight w:val="none"/>
                <w:lang w:val="en-US" w:eastAsia="zh-CN"/>
              </w:rPr>
            </w:pPr>
          </w:p>
        </w:tc>
      </w:tr>
      <w:tr w14:paraId="44852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12" w:type="pct"/>
            <w:tcBorders>
              <w:top w:val="nil"/>
              <w:left w:val="single" w:color="000000" w:sz="8" w:space="0"/>
              <w:bottom w:val="single" w:color="000000" w:sz="8" w:space="0"/>
              <w:right w:val="single" w:color="000000" w:sz="8" w:space="0"/>
            </w:tcBorders>
            <w:shd w:val="clear" w:color="auto" w:fill="auto"/>
            <w:noWrap/>
            <w:vAlign w:val="center"/>
          </w:tcPr>
          <w:p w14:paraId="5D6C1006">
            <w:pPr>
              <w:pStyle w:val="58"/>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9</w:t>
            </w:r>
          </w:p>
        </w:tc>
        <w:tc>
          <w:tcPr>
            <w:tcW w:w="1369" w:type="pct"/>
            <w:tcBorders>
              <w:top w:val="nil"/>
              <w:left w:val="nil"/>
              <w:bottom w:val="single" w:color="000000" w:sz="8" w:space="0"/>
              <w:right w:val="single" w:color="000000" w:sz="8" w:space="0"/>
            </w:tcBorders>
            <w:shd w:val="clear" w:color="auto" w:fill="auto"/>
            <w:noWrap/>
            <w:vAlign w:val="center"/>
          </w:tcPr>
          <w:p w14:paraId="05197829">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现状综合管线保护</w:t>
            </w:r>
          </w:p>
        </w:tc>
        <w:tc>
          <w:tcPr>
            <w:tcW w:w="612" w:type="pct"/>
            <w:tcBorders>
              <w:top w:val="nil"/>
              <w:left w:val="nil"/>
              <w:bottom w:val="single" w:color="000000" w:sz="8" w:space="0"/>
              <w:right w:val="single" w:color="000000" w:sz="8" w:space="0"/>
            </w:tcBorders>
            <w:shd w:val="clear" w:color="auto" w:fill="auto"/>
            <w:noWrap/>
            <w:vAlign w:val="center"/>
          </w:tcPr>
          <w:p w14:paraId="5268F8F6">
            <w:pPr>
              <w:pStyle w:val="58"/>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m</w:t>
            </w:r>
          </w:p>
        </w:tc>
        <w:tc>
          <w:tcPr>
            <w:tcW w:w="612" w:type="pct"/>
            <w:tcBorders>
              <w:top w:val="nil"/>
              <w:left w:val="nil"/>
              <w:bottom w:val="single" w:color="000000" w:sz="8" w:space="0"/>
              <w:right w:val="single" w:color="000000" w:sz="8" w:space="0"/>
            </w:tcBorders>
            <w:shd w:val="clear" w:color="auto" w:fill="auto"/>
            <w:noWrap/>
            <w:vAlign w:val="center"/>
          </w:tcPr>
          <w:p w14:paraId="4FDD0AA3">
            <w:pPr>
              <w:pStyle w:val="58"/>
              <w:rPr>
                <w:rFonts w:hint="eastAsia" w:ascii="Times New Roman" w:hAnsi="Times New Roman" w:eastAsia="仿宋" w:cs="Times New Roman"/>
                <w:color w:val="auto"/>
                <w:sz w:val="24"/>
                <w:highlight w:val="none"/>
                <w:lang w:val="en-US" w:eastAsia="zh-CN"/>
              </w:rPr>
            </w:pPr>
          </w:p>
        </w:tc>
        <w:tc>
          <w:tcPr>
            <w:tcW w:w="612" w:type="pct"/>
            <w:tcBorders>
              <w:top w:val="nil"/>
              <w:left w:val="nil"/>
              <w:bottom w:val="single" w:color="000000" w:sz="8" w:space="0"/>
              <w:right w:val="single" w:color="000000" w:sz="8" w:space="0"/>
            </w:tcBorders>
            <w:shd w:val="clear" w:color="auto" w:fill="auto"/>
            <w:noWrap/>
            <w:vAlign w:val="center"/>
          </w:tcPr>
          <w:p w14:paraId="1D94D6CB">
            <w:pPr>
              <w:pStyle w:val="58"/>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250</w:t>
            </w:r>
          </w:p>
        </w:tc>
        <w:tc>
          <w:tcPr>
            <w:tcW w:w="1181" w:type="pct"/>
            <w:tcBorders>
              <w:top w:val="nil"/>
              <w:left w:val="nil"/>
              <w:bottom w:val="single" w:color="000000" w:sz="8" w:space="0"/>
              <w:right w:val="single" w:color="000000" w:sz="8" w:space="0"/>
            </w:tcBorders>
            <w:shd w:val="clear" w:color="auto" w:fill="auto"/>
            <w:noWrap/>
            <w:vAlign w:val="center"/>
          </w:tcPr>
          <w:p w14:paraId="460C19EA">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暂估</w:t>
            </w:r>
          </w:p>
        </w:tc>
      </w:tr>
    </w:tbl>
    <w:p w14:paraId="31CB3FEF">
      <w:pPr>
        <w:pStyle w:val="21"/>
        <w:rPr>
          <w:rFonts w:hint="eastAsia"/>
          <w:color w:val="auto"/>
          <w:highlight w:val="none"/>
        </w:rPr>
      </w:pPr>
    </w:p>
    <w:bookmarkEnd w:id="90"/>
    <w:p w14:paraId="2D160E80">
      <w:pPr>
        <w:adjustRightInd w:val="0"/>
        <w:snapToGrid w:val="0"/>
        <w:ind w:firstLine="562"/>
        <w:outlineLvl w:val="1"/>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14.3</w:t>
      </w:r>
      <w:r>
        <w:rPr>
          <w:rFonts w:hint="eastAsia" w:ascii="仿宋" w:hAnsi="仿宋" w:eastAsia="仿宋" w:cs="仿宋"/>
          <w:color w:val="auto"/>
          <w:szCs w:val="24"/>
          <w:highlight w:val="none"/>
        </w:rPr>
        <w:t>挡护结构主要工程数量表</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7"/>
        <w:gridCol w:w="3509"/>
        <w:gridCol w:w="1039"/>
        <w:gridCol w:w="1737"/>
        <w:gridCol w:w="2507"/>
      </w:tblGrid>
      <w:tr w14:paraId="31CC7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5000" w:type="pct"/>
            <w:gridSpan w:val="5"/>
            <w:noWrap w:val="0"/>
            <w:vAlign w:val="center"/>
          </w:tcPr>
          <w:p w14:paraId="446E4A24">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边坡挡护工程量主要工程数量表</w:t>
            </w:r>
          </w:p>
        </w:tc>
      </w:tr>
      <w:tr w14:paraId="1BCAA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90" w:type="pct"/>
            <w:vMerge w:val="restart"/>
            <w:noWrap w:val="0"/>
            <w:vAlign w:val="center"/>
          </w:tcPr>
          <w:p w14:paraId="70C10BA0">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挡护类型</w:t>
            </w:r>
          </w:p>
        </w:tc>
        <w:tc>
          <w:tcPr>
            <w:tcW w:w="1714" w:type="pct"/>
            <w:vMerge w:val="restart"/>
            <w:noWrap w:val="0"/>
            <w:vAlign w:val="center"/>
          </w:tcPr>
          <w:p w14:paraId="21E29699">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材料</w:t>
            </w:r>
          </w:p>
        </w:tc>
        <w:tc>
          <w:tcPr>
            <w:tcW w:w="468" w:type="pct"/>
            <w:vMerge w:val="restart"/>
            <w:noWrap w:val="0"/>
            <w:vAlign w:val="center"/>
          </w:tcPr>
          <w:p w14:paraId="2A7F4A1F">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单位</w:t>
            </w:r>
          </w:p>
        </w:tc>
        <w:tc>
          <w:tcPr>
            <w:tcW w:w="820" w:type="pct"/>
            <w:vMerge w:val="restart"/>
            <w:noWrap w:val="0"/>
            <w:vAlign w:val="center"/>
          </w:tcPr>
          <w:p w14:paraId="3E5F1908">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数量</w:t>
            </w:r>
          </w:p>
        </w:tc>
        <w:tc>
          <w:tcPr>
            <w:tcW w:w="1205" w:type="pct"/>
            <w:vMerge w:val="restart"/>
            <w:noWrap w:val="0"/>
            <w:vAlign w:val="center"/>
          </w:tcPr>
          <w:p w14:paraId="63598C02">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备注</w:t>
            </w:r>
          </w:p>
        </w:tc>
      </w:tr>
      <w:tr w14:paraId="38E3D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90" w:type="pct"/>
            <w:vMerge w:val="continue"/>
            <w:noWrap w:val="0"/>
            <w:vAlign w:val="center"/>
          </w:tcPr>
          <w:p w14:paraId="75D914B9">
            <w:pPr>
              <w:pStyle w:val="58"/>
              <w:rPr>
                <w:rFonts w:hint="eastAsia" w:ascii="Times New Roman" w:hAnsi="Times New Roman" w:eastAsia="仿宋" w:cs="Times New Roman"/>
                <w:color w:val="auto"/>
                <w:sz w:val="24"/>
                <w:highlight w:val="none"/>
                <w:lang w:val="en-US" w:eastAsia="zh-CN"/>
              </w:rPr>
            </w:pPr>
          </w:p>
        </w:tc>
        <w:tc>
          <w:tcPr>
            <w:tcW w:w="1714" w:type="pct"/>
            <w:vMerge w:val="continue"/>
            <w:noWrap w:val="0"/>
            <w:vAlign w:val="center"/>
          </w:tcPr>
          <w:p w14:paraId="22261A3A">
            <w:pPr>
              <w:pStyle w:val="58"/>
              <w:rPr>
                <w:rFonts w:hint="eastAsia" w:ascii="Times New Roman" w:hAnsi="Times New Roman" w:eastAsia="仿宋" w:cs="Times New Roman"/>
                <w:color w:val="auto"/>
                <w:sz w:val="24"/>
                <w:highlight w:val="none"/>
                <w:lang w:val="en-US" w:eastAsia="zh-CN"/>
              </w:rPr>
            </w:pPr>
          </w:p>
        </w:tc>
        <w:tc>
          <w:tcPr>
            <w:tcW w:w="468" w:type="pct"/>
            <w:vMerge w:val="continue"/>
            <w:noWrap w:val="0"/>
            <w:vAlign w:val="center"/>
          </w:tcPr>
          <w:p w14:paraId="46A839FA">
            <w:pPr>
              <w:pStyle w:val="58"/>
              <w:rPr>
                <w:rFonts w:hint="eastAsia" w:ascii="Times New Roman" w:hAnsi="Times New Roman" w:eastAsia="仿宋" w:cs="Times New Roman"/>
                <w:color w:val="auto"/>
                <w:sz w:val="24"/>
                <w:highlight w:val="none"/>
                <w:lang w:val="en-US" w:eastAsia="zh-CN"/>
              </w:rPr>
            </w:pPr>
          </w:p>
        </w:tc>
        <w:tc>
          <w:tcPr>
            <w:tcW w:w="820" w:type="pct"/>
            <w:vMerge w:val="continue"/>
            <w:noWrap w:val="0"/>
            <w:vAlign w:val="center"/>
          </w:tcPr>
          <w:p w14:paraId="218B9983">
            <w:pPr>
              <w:pStyle w:val="58"/>
              <w:rPr>
                <w:rFonts w:hint="eastAsia" w:ascii="Times New Roman" w:hAnsi="Times New Roman" w:eastAsia="仿宋" w:cs="Times New Roman"/>
                <w:color w:val="auto"/>
                <w:sz w:val="24"/>
                <w:highlight w:val="none"/>
                <w:lang w:val="en-US" w:eastAsia="zh-CN"/>
              </w:rPr>
            </w:pPr>
          </w:p>
        </w:tc>
        <w:tc>
          <w:tcPr>
            <w:tcW w:w="1205" w:type="pct"/>
            <w:vMerge w:val="continue"/>
            <w:noWrap w:val="0"/>
            <w:vAlign w:val="center"/>
          </w:tcPr>
          <w:p w14:paraId="0F60E474">
            <w:pPr>
              <w:pStyle w:val="58"/>
              <w:rPr>
                <w:rFonts w:hint="eastAsia" w:ascii="Times New Roman" w:hAnsi="Times New Roman" w:eastAsia="仿宋" w:cs="Times New Roman"/>
                <w:color w:val="auto"/>
                <w:sz w:val="24"/>
                <w:highlight w:val="none"/>
                <w:lang w:val="en-US" w:eastAsia="zh-CN"/>
              </w:rPr>
            </w:pPr>
          </w:p>
        </w:tc>
      </w:tr>
      <w:tr w14:paraId="6DE4A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90" w:type="pct"/>
            <w:vMerge w:val="restart"/>
            <w:noWrap/>
            <w:vAlign w:val="center"/>
          </w:tcPr>
          <w:p w14:paraId="5DAA5BE5">
            <w:pPr>
              <w:pStyle w:val="58"/>
              <w:rPr>
                <w:rFonts w:hint="eastAsia" w:ascii="Times New Roman" w:eastAsia="仿宋" w:cs="Times New Roman"/>
                <w:color w:val="auto"/>
                <w:sz w:val="24"/>
                <w:highlight w:val="none"/>
                <w:lang w:val="en-US" w:eastAsia="zh-CN"/>
              </w:rPr>
            </w:pPr>
            <w:r>
              <w:rPr>
                <w:rFonts w:hint="eastAsia" w:ascii="Times New Roman" w:eastAsia="仿宋" w:cs="Times New Roman"/>
                <w:color w:val="auto"/>
                <w:sz w:val="24"/>
                <w:highlight w:val="none"/>
                <w:lang w:val="en-US" w:eastAsia="zh-CN"/>
              </w:rPr>
              <w:t>衡重式</w:t>
            </w:r>
          </w:p>
          <w:p w14:paraId="1197F83C">
            <w:pPr>
              <w:pStyle w:val="58"/>
              <w:rPr>
                <w:rFonts w:hint="eastAsia" w:ascii="Times New Roman" w:hAnsi="Times New Roman" w:eastAsia="仿宋" w:cs="Times New Roman"/>
                <w:color w:val="auto"/>
                <w:sz w:val="24"/>
                <w:highlight w:val="none"/>
                <w:lang w:val="en-US" w:eastAsia="zh-CN"/>
              </w:rPr>
            </w:pPr>
            <w:r>
              <w:rPr>
                <w:rFonts w:hint="eastAsia" w:ascii="Times New Roman" w:eastAsia="仿宋" w:cs="Times New Roman"/>
                <w:color w:val="auto"/>
                <w:sz w:val="24"/>
                <w:highlight w:val="none"/>
                <w:lang w:val="en-US" w:eastAsia="zh-CN"/>
              </w:rPr>
              <w:t>路堤挡墙</w:t>
            </w:r>
          </w:p>
        </w:tc>
        <w:tc>
          <w:tcPr>
            <w:tcW w:w="1714" w:type="pct"/>
            <w:noWrap/>
            <w:vAlign w:val="center"/>
          </w:tcPr>
          <w:p w14:paraId="36947E72">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C25</w:t>
            </w:r>
            <w:r>
              <w:rPr>
                <w:rFonts w:hint="eastAsia" w:ascii="Times New Roman" w:eastAsia="仿宋" w:cs="Times New Roman"/>
                <w:color w:val="auto"/>
                <w:sz w:val="24"/>
                <w:highlight w:val="none"/>
                <w:lang w:val="en-US" w:eastAsia="zh-CN"/>
              </w:rPr>
              <w:t>片石</w:t>
            </w:r>
            <w:r>
              <w:rPr>
                <w:rFonts w:hint="eastAsia" w:ascii="Times New Roman" w:hAnsi="Times New Roman" w:eastAsia="仿宋" w:cs="Times New Roman"/>
                <w:color w:val="auto"/>
                <w:sz w:val="24"/>
                <w:highlight w:val="none"/>
                <w:lang w:val="en-US" w:eastAsia="zh-CN"/>
              </w:rPr>
              <w:t>砼</w:t>
            </w:r>
          </w:p>
        </w:tc>
        <w:tc>
          <w:tcPr>
            <w:tcW w:w="468" w:type="pct"/>
            <w:noWrap w:val="0"/>
            <w:vAlign w:val="center"/>
          </w:tcPr>
          <w:p w14:paraId="3F587C2D">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m3</w:t>
            </w:r>
          </w:p>
        </w:tc>
        <w:tc>
          <w:tcPr>
            <w:tcW w:w="820" w:type="pct"/>
            <w:noWrap w:val="0"/>
            <w:vAlign w:val="center"/>
          </w:tcPr>
          <w:p w14:paraId="5336011A">
            <w:pPr>
              <w:pStyle w:val="58"/>
              <w:rPr>
                <w:rFonts w:hint="default" w:ascii="Times New Roman" w:hAnsi="Times New Roman" w:eastAsia="仿宋" w:cs="Times New Roman"/>
                <w:color w:val="auto"/>
                <w:sz w:val="24"/>
                <w:highlight w:val="none"/>
                <w:lang w:val="en-US" w:eastAsia="zh-CN"/>
              </w:rPr>
            </w:pPr>
            <w:r>
              <w:rPr>
                <w:rFonts w:hint="eastAsia" w:ascii="Times New Roman" w:eastAsia="仿宋" w:cs="Times New Roman"/>
                <w:color w:val="auto"/>
                <w:sz w:val="24"/>
                <w:highlight w:val="none"/>
                <w:lang w:val="en-US" w:eastAsia="zh-CN"/>
              </w:rPr>
              <w:t>300.8</w:t>
            </w:r>
          </w:p>
        </w:tc>
        <w:tc>
          <w:tcPr>
            <w:tcW w:w="1205" w:type="pct"/>
            <w:noWrap/>
            <w:vAlign w:val="center"/>
          </w:tcPr>
          <w:p w14:paraId="34A12A28">
            <w:pPr>
              <w:pStyle w:val="58"/>
              <w:rPr>
                <w:rFonts w:hint="eastAsia" w:ascii="Times New Roman" w:hAnsi="Times New Roman" w:eastAsia="仿宋" w:cs="Times New Roman"/>
                <w:color w:val="auto"/>
                <w:sz w:val="24"/>
                <w:highlight w:val="none"/>
                <w:lang w:val="en-US" w:eastAsia="zh-CN"/>
              </w:rPr>
            </w:pPr>
          </w:p>
        </w:tc>
      </w:tr>
      <w:tr w14:paraId="1E70B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90" w:type="pct"/>
            <w:vMerge w:val="continue"/>
            <w:noWrap/>
            <w:vAlign w:val="center"/>
          </w:tcPr>
          <w:p w14:paraId="30BD8A0D">
            <w:pPr>
              <w:pStyle w:val="58"/>
              <w:rPr>
                <w:rFonts w:hint="eastAsia" w:ascii="Times New Roman" w:hAnsi="Times New Roman" w:eastAsia="仿宋" w:cs="Times New Roman"/>
                <w:color w:val="auto"/>
                <w:sz w:val="24"/>
                <w:highlight w:val="none"/>
                <w:lang w:val="en-US" w:eastAsia="zh-CN"/>
              </w:rPr>
            </w:pPr>
          </w:p>
        </w:tc>
        <w:tc>
          <w:tcPr>
            <w:tcW w:w="1714" w:type="pct"/>
            <w:noWrap/>
            <w:vAlign w:val="center"/>
          </w:tcPr>
          <w:p w14:paraId="19D78957">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C</w:t>
            </w:r>
            <w:r>
              <w:rPr>
                <w:rFonts w:hint="eastAsia" w:ascii="Times New Roman" w:eastAsia="仿宋" w:cs="Times New Roman"/>
                <w:color w:val="auto"/>
                <w:sz w:val="24"/>
                <w:highlight w:val="none"/>
                <w:lang w:val="en-US" w:eastAsia="zh-CN"/>
              </w:rPr>
              <w:t>2</w:t>
            </w:r>
            <w:r>
              <w:rPr>
                <w:rFonts w:hint="eastAsia" w:ascii="Times New Roman" w:hAnsi="Times New Roman" w:eastAsia="仿宋" w:cs="Times New Roman"/>
                <w:color w:val="auto"/>
                <w:sz w:val="24"/>
                <w:highlight w:val="none"/>
                <w:lang w:val="en-US" w:eastAsia="zh-CN"/>
              </w:rPr>
              <w:t>0</w:t>
            </w:r>
            <w:r>
              <w:rPr>
                <w:rFonts w:hint="eastAsia" w:ascii="Times New Roman" w:eastAsia="仿宋" w:cs="Times New Roman"/>
                <w:color w:val="auto"/>
                <w:sz w:val="24"/>
                <w:highlight w:val="none"/>
                <w:lang w:val="en-US" w:eastAsia="zh-CN"/>
              </w:rPr>
              <w:t>素砼</w:t>
            </w:r>
          </w:p>
        </w:tc>
        <w:tc>
          <w:tcPr>
            <w:tcW w:w="468" w:type="pct"/>
            <w:noWrap w:val="0"/>
            <w:vAlign w:val="center"/>
          </w:tcPr>
          <w:p w14:paraId="76F458D5">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m3</w:t>
            </w:r>
          </w:p>
        </w:tc>
        <w:tc>
          <w:tcPr>
            <w:tcW w:w="820" w:type="pct"/>
            <w:noWrap w:val="0"/>
            <w:vAlign w:val="center"/>
          </w:tcPr>
          <w:p w14:paraId="0FA34169">
            <w:pPr>
              <w:pStyle w:val="58"/>
              <w:rPr>
                <w:rFonts w:hint="default" w:ascii="Times New Roman" w:hAnsi="Times New Roman" w:eastAsia="仿宋" w:cs="Times New Roman"/>
                <w:color w:val="auto"/>
                <w:sz w:val="24"/>
                <w:highlight w:val="none"/>
                <w:lang w:val="en-US" w:eastAsia="zh-CN"/>
              </w:rPr>
            </w:pPr>
            <w:r>
              <w:rPr>
                <w:rFonts w:hint="eastAsia" w:ascii="Times New Roman" w:eastAsia="仿宋" w:cs="Times New Roman"/>
                <w:color w:val="auto"/>
                <w:sz w:val="24"/>
                <w:highlight w:val="none"/>
                <w:lang w:val="en-US" w:eastAsia="zh-CN"/>
              </w:rPr>
              <w:t>7.1</w:t>
            </w:r>
          </w:p>
        </w:tc>
        <w:tc>
          <w:tcPr>
            <w:tcW w:w="1205" w:type="pct"/>
            <w:noWrap/>
            <w:vAlign w:val="center"/>
          </w:tcPr>
          <w:p w14:paraId="187E7DE8">
            <w:pPr>
              <w:pStyle w:val="58"/>
              <w:rPr>
                <w:rFonts w:hint="eastAsia" w:ascii="Times New Roman" w:hAnsi="Times New Roman" w:eastAsia="仿宋" w:cs="Times New Roman"/>
                <w:color w:val="auto"/>
                <w:sz w:val="24"/>
                <w:highlight w:val="none"/>
                <w:lang w:val="en-US" w:eastAsia="zh-CN"/>
              </w:rPr>
            </w:pPr>
          </w:p>
        </w:tc>
      </w:tr>
      <w:tr w14:paraId="17FA9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90" w:type="pct"/>
            <w:vMerge w:val="continue"/>
            <w:noWrap/>
            <w:vAlign w:val="center"/>
          </w:tcPr>
          <w:p w14:paraId="34D7FB3B">
            <w:pPr>
              <w:pStyle w:val="58"/>
              <w:rPr>
                <w:rFonts w:hint="eastAsia" w:ascii="Times New Roman" w:hAnsi="Times New Roman" w:eastAsia="仿宋" w:cs="Times New Roman"/>
                <w:color w:val="auto"/>
                <w:sz w:val="24"/>
                <w:highlight w:val="none"/>
                <w:lang w:val="en-US" w:eastAsia="zh-CN"/>
              </w:rPr>
            </w:pPr>
          </w:p>
        </w:tc>
        <w:tc>
          <w:tcPr>
            <w:tcW w:w="1714" w:type="pct"/>
            <w:noWrap/>
            <w:vAlign w:val="center"/>
          </w:tcPr>
          <w:p w14:paraId="29A12856">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连槽级配碎石</w:t>
            </w:r>
          </w:p>
        </w:tc>
        <w:tc>
          <w:tcPr>
            <w:tcW w:w="468" w:type="pct"/>
            <w:noWrap w:val="0"/>
            <w:vAlign w:val="center"/>
          </w:tcPr>
          <w:p w14:paraId="00710A33">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m3</w:t>
            </w:r>
          </w:p>
        </w:tc>
        <w:tc>
          <w:tcPr>
            <w:tcW w:w="820" w:type="pct"/>
            <w:noWrap w:val="0"/>
            <w:vAlign w:val="center"/>
          </w:tcPr>
          <w:p w14:paraId="4B057E9D">
            <w:pPr>
              <w:pStyle w:val="58"/>
              <w:rPr>
                <w:rFonts w:hint="default" w:ascii="Times New Roman" w:hAnsi="Times New Roman" w:eastAsia="仿宋" w:cs="Times New Roman"/>
                <w:color w:val="auto"/>
                <w:sz w:val="24"/>
                <w:highlight w:val="none"/>
                <w:lang w:val="en-US" w:eastAsia="zh-CN"/>
              </w:rPr>
            </w:pPr>
            <w:r>
              <w:rPr>
                <w:rFonts w:hint="eastAsia" w:ascii="Times New Roman" w:eastAsia="仿宋" w:cs="Times New Roman"/>
                <w:color w:val="auto"/>
                <w:sz w:val="24"/>
                <w:highlight w:val="none"/>
                <w:lang w:val="en-US" w:eastAsia="zh-CN"/>
              </w:rPr>
              <w:t>35.6</w:t>
            </w:r>
          </w:p>
        </w:tc>
        <w:tc>
          <w:tcPr>
            <w:tcW w:w="1205" w:type="pct"/>
            <w:noWrap/>
            <w:vAlign w:val="center"/>
          </w:tcPr>
          <w:p w14:paraId="6A323937">
            <w:pPr>
              <w:pStyle w:val="58"/>
              <w:rPr>
                <w:rFonts w:hint="eastAsia" w:ascii="Times New Roman" w:hAnsi="Times New Roman" w:eastAsia="仿宋" w:cs="Times New Roman"/>
                <w:color w:val="auto"/>
                <w:sz w:val="24"/>
                <w:highlight w:val="none"/>
                <w:lang w:val="en-US" w:eastAsia="zh-CN"/>
              </w:rPr>
            </w:pPr>
          </w:p>
        </w:tc>
      </w:tr>
      <w:tr w14:paraId="6B6D9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90" w:type="pct"/>
            <w:vMerge w:val="continue"/>
            <w:noWrap/>
            <w:vAlign w:val="center"/>
          </w:tcPr>
          <w:p w14:paraId="400C543B">
            <w:pPr>
              <w:pStyle w:val="58"/>
              <w:rPr>
                <w:rFonts w:hint="eastAsia" w:ascii="Times New Roman" w:hAnsi="Times New Roman" w:eastAsia="仿宋" w:cs="Times New Roman"/>
                <w:color w:val="auto"/>
                <w:sz w:val="24"/>
                <w:highlight w:val="none"/>
                <w:lang w:val="en-US" w:eastAsia="zh-CN"/>
              </w:rPr>
            </w:pPr>
          </w:p>
        </w:tc>
        <w:tc>
          <w:tcPr>
            <w:tcW w:w="1714" w:type="pct"/>
            <w:noWrap/>
            <w:vAlign w:val="center"/>
          </w:tcPr>
          <w:p w14:paraId="3A16C9F1">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D100PVC排水管</w:t>
            </w:r>
          </w:p>
        </w:tc>
        <w:tc>
          <w:tcPr>
            <w:tcW w:w="468" w:type="pct"/>
            <w:noWrap w:val="0"/>
            <w:vAlign w:val="center"/>
          </w:tcPr>
          <w:p w14:paraId="718F55C5">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m</w:t>
            </w:r>
          </w:p>
        </w:tc>
        <w:tc>
          <w:tcPr>
            <w:tcW w:w="820" w:type="pct"/>
            <w:noWrap w:val="0"/>
            <w:vAlign w:val="center"/>
          </w:tcPr>
          <w:p w14:paraId="13385DB4">
            <w:pPr>
              <w:pStyle w:val="58"/>
              <w:rPr>
                <w:rFonts w:hint="default" w:ascii="Times New Roman" w:hAnsi="Times New Roman" w:eastAsia="仿宋" w:cs="Times New Roman"/>
                <w:color w:val="auto"/>
                <w:sz w:val="24"/>
                <w:highlight w:val="none"/>
                <w:lang w:val="en-US" w:eastAsia="zh-CN"/>
              </w:rPr>
            </w:pPr>
            <w:r>
              <w:rPr>
                <w:rFonts w:hint="eastAsia" w:ascii="Times New Roman" w:eastAsia="仿宋" w:cs="Times New Roman"/>
                <w:color w:val="auto"/>
                <w:sz w:val="24"/>
                <w:highlight w:val="none"/>
                <w:lang w:val="en-US" w:eastAsia="zh-CN"/>
              </w:rPr>
              <w:t>49.5</w:t>
            </w:r>
          </w:p>
        </w:tc>
        <w:tc>
          <w:tcPr>
            <w:tcW w:w="1205" w:type="pct"/>
            <w:noWrap/>
            <w:vAlign w:val="center"/>
          </w:tcPr>
          <w:p w14:paraId="35AE712E">
            <w:pPr>
              <w:pStyle w:val="58"/>
              <w:rPr>
                <w:rFonts w:hint="eastAsia" w:ascii="Times New Roman" w:hAnsi="Times New Roman" w:eastAsia="仿宋" w:cs="Times New Roman"/>
                <w:color w:val="auto"/>
                <w:sz w:val="24"/>
                <w:highlight w:val="none"/>
                <w:lang w:val="en-US" w:eastAsia="zh-CN"/>
              </w:rPr>
            </w:pPr>
          </w:p>
        </w:tc>
      </w:tr>
      <w:tr w14:paraId="5BAE6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90" w:type="pct"/>
            <w:vMerge w:val="continue"/>
            <w:noWrap/>
            <w:vAlign w:val="center"/>
          </w:tcPr>
          <w:p w14:paraId="52F92F8F">
            <w:pPr>
              <w:pStyle w:val="58"/>
              <w:rPr>
                <w:rFonts w:hint="eastAsia" w:ascii="Times New Roman" w:hAnsi="Times New Roman" w:eastAsia="仿宋" w:cs="Times New Roman"/>
                <w:color w:val="auto"/>
                <w:sz w:val="24"/>
                <w:highlight w:val="none"/>
                <w:lang w:val="en-US" w:eastAsia="zh-CN"/>
              </w:rPr>
            </w:pPr>
          </w:p>
        </w:tc>
        <w:tc>
          <w:tcPr>
            <w:tcW w:w="1714" w:type="pct"/>
            <w:noWrap/>
            <w:vAlign w:val="center"/>
          </w:tcPr>
          <w:p w14:paraId="190ADF16">
            <w:pPr>
              <w:pStyle w:val="58"/>
              <w:rPr>
                <w:rFonts w:hint="eastAsia" w:ascii="Times New Roman" w:hAnsi="Times New Roman" w:eastAsia="仿宋" w:cs="Times New Roman"/>
                <w:color w:val="auto"/>
                <w:sz w:val="24"/>
                <w:highlight w:val="none"/>
                <w:lang w:val="en-US" w:eastAsia="zh-CN"/>
              </w:rPr>
            </w:pPr>
            <w:r>
              <w:rPr>
                <w:rFonts w:hint="eastAsia" w:ascii="Times New Roman" w:eastAsia="仿宋" w:cs="Times New Roman"/>
                <w:color w:val="auto"/>
                <w:sz w:val="24"/>
                <w:highlight w:val="none"/>
                <w:lang w:val="en-US" w:eastAsia="zh-CN"/>
              </w:rPr>
              <w:t>透水软管</w:t>
            </w:r>
          </w:p>
        </w:tc>
        <w:tc>
          <w:tcPr>
            <w:tcW w:w="468" w:type="pct"/>
            <w:noWrap w:val="0"/>
            <w:vAlign w:val="center"/>
          </w:tcPr>
          <w:p w14:paraId="3D71DBBD">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m</w:t>
            </w:r>
          </w:p>
        </w:tc>
        <w:tc>
          <w:tcPr>
            <w:tcW w:w="820" w:type="pct"/>
            <w:noWrap w:val="0"/>
            <w:vAlign w:val="center"/>
          </w:tcPr>
          <w:p w14:paraId="3F99C349">
            <w:pPr>
              <w:pStyle w:val="58"/>
              <w:rPr>
                <w:rFonts w:hint="default" w:ascii="Times New Roman" w:hAnsi="Times New Roman" w:eastAsia="仿宋" w:cs="Times New Roman"/>
                <w:color w:val="auto"/>
                <w:sz w:val="24"/>
                <w:highlight w:val="none"/>
                <w:lang w:val="en-US" w:eastAsia="zh-CN"/>
              </w:rPr>
            </w:pPr>
            <w:r>
              <w:rPr>
                <w:rFonts w:hint="eastAsia" w:ascii="Times New Roman" w:eastAsia="仿宋" w:cs="Times New Roman"/>
                <w:color w:val="auto"/>
                <w:sz w:val="24"/>
                <w:highlight w:val="none"/>
                <w:lang w:val="en-US" w:eastAsia="zh-CN"/>
              </w:rPr>
              <w:t>16.2</w:t>
            </w:r>
          </w:p>
        </w:tc>
        <w:tc>
          <w:tcPr>
            <w:tcW w:w="1205" w:type="pct"/>
            <w:noWrap/>
            <w:vAlign w:val="center"/>
          </w:tcPr>
          <w:p w14:paraId="134776B7">
            <w:pPr>
              <w:pStyle w:val="58"/>
              <w:rPr>
                <w:rFonts w:hint="eastAsia" w:ascii="Times New Roman" w:hAnsi="Times New Roman" w:eastAsia="仿宋" w:cs="Times New Roman"/>
                <w:color w:val="auto"/>
                <w:sz w:val="24"/>
                <w:highlight w:val="none"/>
                <w:lang w:val="en-US" w:eastAsia="zh-CN"/>
              </w:rPr>
            </w:pPr>
          </w:p>
        </w:tc>
      </w:tr>
      <w:tr w14:paraId="30037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90" w:type="pct"/>
            <w:vMerge w:val="continue"/>
            <w:noWrap/>
            <w:vAlign w:val="center"/>
          </w:tcPr>
          <w:p w14:paraId="3B1730BF">
            <w:pPr>
              <w:pStyle w:val="58"/>
              <w:rPr>
                <w:rFonts w:hint="eastAsia" w:ascii="Times New Roman" w:hAnsi="Times New Roman" w:eastAsia="仿宋" w:cs="Times New Roman"/>
                <w:color w:val="auto"/>
                <w:sz w:val="24"/>
                <w:highlight w:val="none"/>
                <w:lang w:val="en-US" w:eastAsia="zh-CN"/>
              </w:rPr>
            </w:pPr>
          </w:p>
        </w:tc>
        <w:tc>
          <w:tcPr>
            <w:tcW w:w="1714" w:type="pct"/>
            <w:noWrap/>
            <w:vAlign w:val="center"/>
          </w:tcPr>
          <w:p w14:paraId="634FE037">
            <w:pPr>
              <w:pStyle w:val="58"/>
              <w:rPr>
                <w:rFonts w:hint="eastAsia" w:ascii="Times New Roman" w:hAnsi="Times New Roman" w:eastAsia="仿宋" w:cs="Times New Roman"/>
                <w:color w:val="auto"/>
                <w:sz w:val="24"/>
                <w:highlight w:val="none"/>
                <w:lang w:val="en-US" w:eastAsia="zh-CN"/>
              </w:rPr>
            </w:pPr>
            <w:r>
              <w:rPr>
                <w:rFonts w:hint="eastAsia" w:ascii="Times New Roman" w:eastAsia="仿宋" w:cs="Times New Roman"/>
                <w:color w:val="auto"/>
                <w:sz w:val="24"/>
                <w:highlight w:val="none"/>
                <w:lang w:val="en-US" w:eastAsia="zh-CN"/>
              </w:rPr>
              <w:t>加筋土工布</w:t>
            </w:r>
          </w:p>
        </w:tc>
        <w:tc>
          <w:tcPr>
            <w:tcW w:w="468" w:type="pct"/>
            <w:noWrap w:val="0"/>
            <w:vAlign w:val="center"/>
          </w:tcPr>
          <w:p w14:paraId="08CD7568">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m2</w:t>
            </w:r>
          </w:p>
        </w:tc>
        <w:tc>
          <w:tcPr>
            <w:tcW w:w="820" w:type="pct"/>
            <w:noWrap w:val="0"/>
            <w:vAlign w:val="center"/>
          </w:tcPr>
          <w:p w14:paraId="5D152A2A">
            <w:pPr>
              <w:pStyle w:val="58"/>
              <w:rPr>
                <w:rFonts w:hint="default" w:ascii="Times New Roman" w:hAnsi="Times New Roman" w:eastAsia="仿宋" w:cs="Times New Roman"/>
                <w:color w:val="auto"/>
                <w:sz w:val="24"/>
                <w:highlight w:val="none"/>
                <w:lang w:val="en-US" w:eastAsia="zh-CN"/>
              </w:rPr>
            </w:pPr>
            <w:r>
              <w:rPr>
                <w:rFonts w:hint="eastAsia" w:ascii="Times New Roman" w:eastAsia="仿宋" w:cs="Times New Roman"/>
                <w:color w:val="auto"/>
                <w:sz w:val="24"/>
                <w:highlight w:val="none"/>
                <w:lang w:val="en-US" w:eastAsia="zh-CN"/>
              </w:rPr>
              <w:t>1.8</w:t>
            </w:r>
          </w:p>
        </w:tc>
        <w:tc>
          <w:tcPr>
            <w:tcW w:w="1205" w:type="pct"/>
            <w:noWrap/>
            <w:vAlign w:val="center"/>
          </w:tcPr>
          <w:p w14:paraId="1E368F32">
            <w:pPr>
              <w:pStyle w:val="58"/>
              <w:rPr>
                <w:rFonts w:hint="eastAsia" w:ascii="Times New Roman" w:hAnsi="Times New Roman" w:eastAsia="仿宋" w:cs="Times New Roman"/>
                <w:color w:val="auto"/>
                <w:sz w:val="24"/>
                <w:highlight w:val="none"/>
                <w:lang w:val="en-US" w:eastAsia="zh-CN"/>
              </w:rPr>
            </w:pPr>
          </w:p>
        </w:tc>
      </w:tr>
      <w:tr w14:paraId="27B11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90" w:type="pct"/>
            <w:vMerge w:val="continue"/>
            <w:noWrap/>
            <w:vAlign w:val="center"/>
          </w:tcPr>
          <w:p w14:paraId="100F6837">
            <w:pPr>
              <w:pStyle w:val="58"/>
              <w:rPr>
                <w:rFonts w:hint="eastAsia" w:ascii="Times New Roman" w:hAnsi="Times New Roman" w:eastAsia="仿宋" w:cs="Times New Roman"/>
                <w:color w:val="auto"/>
                <w:sz w:val="24"/>
                <w:highlight w:val="none"/>
                <w:lang w:val="en-US" w:eastAsia="zh-CN"/>
              </w:rPr>
            </w:pPr>
          </w:p>
        </w:tc>
        <w:tc>
          <w:tcPr>
            <w:tcW w:w="1714" w:type="pct"/>
            <w:noWrap/>
            <w:vAlign w:val="center"/>
          </w:tcPr>
          <w:p w14:paraId="61E6FF8C">
            <w:pPr>
              <w:pStyle w:val="58"/>
              <w:rPr>
                <w:rFonts w:hint="eastAsia" w:ascii="Times New Roman" w:hAnsi="Times New Roman" w:eastAsia="仿宋" w:cs="Times New Roman"/>
                <w:color w:val="auto"/>
                <w:sz w:val="24"/>
                <w:highlight w:val="none"/>
                <w:lang w:val="en-US" w:eastAsia="zh-CN"/>
              </w:rPr>
            </w:pPr>
            <w:r>
              <w:rPr>
                <w:rFonts w:hint="eastAsia" w:ascii="Times New Roman" w:eastAsia="仿宋" w:cs="Times New Roman"/>
                <w:color w:val="auto"/>
                <w:sz w:val="24"/>
                <w:highlight w:val="none"/>
                <w:lang w:val="en-US" w:eastAsia="zh-CN"/>
              </w:rPr>
              <w:t>黏土隔水层</w:t>
            </w:r>
          </w:p>
        </w:tc>
        <w:tc>
          <w:tcPr>
            <w:tcW w:w="468" w:type="pct"/>
            <w:noWrap w:val="0"/>
            <w:vAlign w:val="center"/>
          </w:tcPr>
          <w:p w14:paraId="6F131591">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m3</w:t>
            </w:r>
          </w:p>
        </w:tc>
        <w:tc>
          <w:tcPr>
            <w:tcW w:w="820" w:type="pct"/>
            <w:noWrap w:val="0"/>
            <w:vAlign w:val="center"/>
          </w:tcPr>
          <w:p w14:paraId="43844247">
            <w:pPr>
              <w:pStyle w:val="58"/>
              <w:rPr>
                <w:rFonts w:hint="default" w:ascii="Times New Roman" w:hAnsi="Times New Roman" w:eastAsia="仿宋" w:cs="Times New Roman"/>
                <w:color w:val="auto"/>
                <w:sz w:val="24"/>
                <w:highlight w:val="none"/>
                <w:lang w:val="en-US" w:eastAsia="zh-CN"/>
              </w:rPr>
            </w:pPr>
            <w:r>
              <w:rPr>
                <w:rFonts w:hint="eastAsia" w:ascii="Times New Roman" w:eastAsia="仿宋" w:cs="Times New Roman"/>
                <w:color w:val="auto"/>
                <w:sz w:val="24"/>
                <w:highlight w:val="none"/>
                <w:lang w:val="en-US" w:eastAsia="zh-CN"/>
              </w:rPr>
              <w:t>35.6</w:t>
            </w:r>
          </w:p>
        </w:tc>
        <w:tc>
          <w:tcPr>
            <w:tcW w:w="1205" w:type="pct"/>
            <w:noWrap/>
            <w:vAlign w:val="center"/>
          </w:tcPr>
          <w:p w14:paraId="2BC58316">
            <w:pPr>
              <w:pStyle w:val="58"/>
              <w:rPr>
                <w:rFonts w:hint="eastAsia" w:ascii="Times New Roman" w:hAnsi="Times New Roman" w:eastAsia="仿宋" w:cs="Times New Roman"/>
                <w:color w:val="auto"/>
                <w:sz w:val="24"/>
                <w:highlight w:val="none"/>
                <w:lang w:val="en-US" w:eastAsia="zh-CN"/>
              </w:rPr>
            </w:pPr>
          </w:p>
        </w:tc>
      </w:tr>
      <w:tr w14:paraId="1E9F1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90" w:type="pct"/>
            <w:vMerge w:val="continue"/>
            <w:noWrap/>
            <w:vAlign w:val="center"/>
          </w:tcPr>
          <w:p w14:paraId="73B1EDBD">
            <w:pPr>
              <w:pStyle w:val="58"/>
              <w:rPr>
                <w:rFonts w:hint="eastAsia" w:ascii="Times New Roman" w:hAnsi="Times New Roman" w:eastAsia="仿宋" w:cs="Times New Roman"/>
                <w:color w:val="auto"/>
                <w:sz w:val="24"/>
                <w:highlight w:val="none"/>
                <w:lang w:val="en-US" w:eastAsia="zh-CN"/>
              </w:rPr>
            </w:pPr>
          </w:p>
        </w:tc>
        <w:tc>
          <w:tcPr>
            <w:tcW w:w="1714" w:type="pct"/>
            <w:noWrap/>
            <w:vAlign w:val="center"/>
          </w:tcPr>
          <w:p w14:paraId="7DD54826">
            <w:pPr>
              <w:pStyle w:val="58"/>
              <w:rPr>
                <w:rFonts w:hint="eastAsia" w:ascii="Times New Roman" w:hAnsi="Times New Roman" w:eastAsia="仿宋" w:cs="Times New Roman"/>
                <w:color w:val="auto"/>
                <w:sz w:val="24"/>
                <w:highlight w:val="none"/>
                <w:lang w:val="en-US" w:eastAsia="zh-CN"/>
              </w:rPr>
            </w:pPr>
            <w:r>
              <w:rPr>
                <w:rFonts w:hint="eastAsia" w:ascii="Times New Roman" w:eastAsia="仿宋" w:cs="Times New Roman"/>
                <w:color w:val="auto"/>
                <w:sz w:val="24"/>
                <w:highlight w:val="none"/>
                <w:lang w:val="en-US" w:eastAsia="zh-CN"/>
              </w:rPr>
              <w:t>临时基槽开挖</w:t>
            </w:r>
          </w:p>
        </w:tc>
        <w:tc>
          <w:tcPr>
            <w:tcW w:w="468" w:type="pct"/>
            <w:shd w:val="clear" w:color="auto" w:fill="auto"/>
            <w:noWrap w:val="0"/>
            <w:vAlign w:val="center"/>
          </w:tcPr>
          <w:p w14:paraId="7039F4B8">
            <w:pPr>
              <w:pStyle w:val="58"/>
              <w:rPr>
                <w:rFonts w:hint="eastAsia" w:ascii="Times New Roman" w:hAnsi="Times New Roman" w:eastAsia="仿宋" w:cs="Times New Roman"/>
                <w:color w:val="auto"/>
                <w:sz w:val="24"/>
                <w:szCs w:val="24"/>
                <w:highlight w:val="none"/>
                <w:lang w:val="en-US" w:eastAsia="zh-CN" w:bidi="ar-SA"/>
              </w:rPr>
            </w:pPr>
            <w:r>
              <w:rPr>
                <w:rFonts w:hint="eastAsia" w:ascii="Times New Roman" w:hAnsi="Times New Roman" w:eastAsia="仿宋" w:cs="Times New Roman"/>
                <w:color w:val="auto"/>
                <w:sz w:val="24"/>
                <w:highlight w:val="none"/>
                <w:lang w:val="en-US" w:eastAsia="zh-CN"/>
              </w:rPr>
              <w:t>m3</w:t>
            </w:r>
          </w:p>
        </w:tc>
        <w:tc>
          <w:tcPr>
            <w:tcW w:w="820" w:type="pct"/>
            <w:shd w:val="clear" w:color="auto" w:fill="auto"/>
            <w:noWrap w:val="0"/>
            <w:vAlign w:val="center"/>
          </w:tcPr>
          <w:p w14:paraId="0AE7F7DC">
            <w:pPr>
              <w:pStyle w:val="58"/>
              <w:rPr>
                <w:rFonts w:hint="default" w:ascii="Times New Roman" w:hAnsi="Times New Roman" w:eastAsia="仿宋" w:cs="Times New Roman"/>
                <w:color w:val="auto"/>
                <w:sz w:val="24"/>
                <w:szCs w:val="24"/>
                <w:highlight w:val="none"/>
                <w:lang w:val="en-US" w:eastAsia="zh-CN" w:bidi="ar-SA"/>
              </w:rPr>
            </w:pPr>
            <w:r>
              <w:rPr>
                <w:rFonts w:hint="eastAsia" w:ascii="Times New Roman" w:eastAsia="仿宋" w:cs="Times New Roman"/>
                <w:color w:val="auto"/>
                <w:sz w:val="24"/>
                <w:highlight w:val="none"/>
                <w:lang w:val="en-US" w:eastAsia="zh-CN"/>
              </w:rPr>
              <w:t>220.6</w:t>
            </w:r>
          </w:p>
        </w:tc>
        <w:tc>
          <w:tcPr>
            <w:tcW w:w="1205" w:type="pct"/>
            <w:noWrap/>
            <w:vAlign w:val="center"/>
          </w:tcPr>
          <w:p w14:paraId="1ED73325">
            <w:pPr>
              <w:pStyle w:val="58"/>
              <w:rPr>
                <w:rFonts w:hint="eastAsia" w:ascii="Times New Roman" w:hAnsi="Times New Roman" w:eastAsia="仿宋" w:cs="Times New Roman"/>
                <w:color w:val="auto"/>
                <w:sz w:val="24"/>
                <w:highlight w:val="none"/>
                <w:lang w:val="en-US" w:eastAsia="zh-CN"/>
              </w:rPr>
            </w:pPr>
          </w:p>
        </w:tc>
      </w:tr>
      <w:tr w14:paraId="3E23C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90" w:type="pct"/>
            <w:vMerge w:val="continue"/>
            <w:noWrap/>
            <w:vAlign w:val="center"/>
          </w:tcPr>
          <w:p w14:paraId="271631F7">
            <w:pPr>
              <w:pStyle w:val="58"/>
              <w:rPr>
                <w:rFonts w:hint="eastAsia" w:ascii="Times New Roman" w:hAnsi="Times New Roman" w:eastAsia="仿宋" w:cs="Times New Roman"/>
                <w:color w:val="auto"/>
                <w:sz w:val="24"/>
                <w:highlight w:val="none"/>
                <w:lang w:val="en-US" w:eastAsia="zh-CN"/>
              </w:rPr>
            </w:pPr>
          </w:p>
        </w:tc>
        <w:tc>
          <w:tcPr>
            <w:tcW w:w="1714" w:type="pct"/>
            <w:noWrap/>
            <w:vAlign w:val="center"/>
          </w:tcPr>
          <w:p w14:paraId="0FAE3EF1">
            <w:pPr>
              <w:pStyle w:val="58"/>
              <w:rPr>
                <w:rFonts w:hint="eastAsia" w:ascii="Times New Roman" w:hAnsi="Times New Roman" w:eastAsia="仿宋" w:cs="Times New Roman"/>
                <w:color w:val="auto"/>
                <w:sz w:val="24"/>
                <w:highlight w:val="none"/>
                <w:lang w:val="en-US" w:eastAsia="zh-CN"/>
              </w:rPr>
            </w:pPr>
            <w:r>
              <w:rPr>
                <w:rFonts w:hint="eastAsia" w:ascii="Times New Roman" w:eastAsia="仿宋" w:cs="Times New Roman"/>
                <w:color w:val="auto"/>
                <w:sz w:val="24"/>
                <w:highlight w:val="none"/>
                <w:lang w:val="en-US" w:eastAsia="zh-CN"/>
              </w:rPr>
              <w:t>底部钢筋网片</w:t>
            </w:r>
          </w:p>
        </w:tc>
        <w:tc>
          <w:tcPr>
            <w:tcW w:w="468" w:type="pct"/>
            <w:noWrap w:val="0"/>
            <w:vAlign w:val="center"/>
          </w:tcPr>
          <w:p w14:paraId="4B4ECF19">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kg</w:t>
            </w:r>
          </w:p>
        </w:tc>
        <w:tc>
          <w:tcPr>
            <w:tcW w:w="820" w:type="pct"/>
            <w:noWrap w:val="0"/>
            <w:vAlign w:val="center"/>
          </w:tcPr>
          <w:p w14:paraId="481A2248">
            <w:pPr>
              <w:pStyle w:val="58"/>
              <w:rPr>
                <w:rFonts w:hint="default" w:ascii="Times New Roman" w:hAnsi="Times New Roman" w:eastAsia="仿宋" w:cs="Times New Roman"/>
                <w:color w:val="auto"/>
                <w:sz w:val="24"/>
                <w:highlight w:val="none"/>
                <w:lang w:val="en-US" w:eastAsia="zh-CN"/>
              </w:rPr>
            </w:pPr>
            <w:r>
              <w:rPr>
                <w:rFonts w:hint="eastAsia" w:ascii="Times New Roman" w:eastAsia="仿宋" w:cs="Times New Roman"/>
                <w:color w:val="auto"/>
                <w:sz w:val="24"/>
                <w:highlight w:val="none"/>
                <w:lang w:val="en-US" w:eastAsia="zh-CN"/>
              </w:rPr>
              <w:t>629.4</w:t>
            </w:r>
          </w:p>
        </w:tc>
        <w:tc>
          <w:tcPr>
            <w:tcW w:w="1205" w:type="pct"/>
            <w:noWrap/>
            <w:vAlign w:val="center"/>
          </w:tcPr>
          <w:p w14:paraId="5216C211">
            <w:pPr>
              <w:pStyle w:val="58"/>
              <w:rPr>
                <w:rFonts w:hint="eastAsia" w:ascii="Times New Roman" w:hAnsi="Times New Roman" w:eastAsia="仿宋" w:cs="Times New Roman"/>
                <w:color w:val="auto"/>
                <w:sz w:val="24"/>
                <w:highlight w:val="none"/>
                <w:lang w:val="en-US" w:eastAsia="zh-CN"/>
              </w:rPr>
            </w:pPr>
          </w:p>
        </w:tc>
      </w:tr>
      <w:tr w14:paraId="68CCF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90" w:type="pct"/>
            <w:vMerge w:val="continue"/>
            <w:noWrap/>
            <w:vAlign w:val="center"/>
          </w:tcPr>
          <w:p w14:paraId="6D57A84C">
            <w:pPr>
              <w:pStyle w:val="58"/>
              <w:rPr>
                <w:rFonts w:hint="eastAsia" w:ascii="Times New Roman" w:hAnsi="Times New Roman" w:eastAsia="仿宋" w:cs="Times New Roman"/>
                <w:color w:val="auto"/>
                <w:sz w:val="24"/>
                <w:highlight w:val="none"/>
                <w:lang w:val="en-US" w:eastAsia="zh-CN"/>
              </w:rPr>
            </w:pPr>
          </w:p>
        </w:tc>
        <w:tc>
          <w:tcPr>
            <w:tcW w:w="1714" w:type="pct"/>
            <w:noWrap/>
            <w:vAlign w:val="center"/>
          </w:tcPr>
          <w:p w14:paraId="1E8B28FD">
            <w:pPr>
              <w:pStyle w:val="58"/>
              <w:rPr>
                <w:rFonts w:hint="eastAsia" w:ascii="Times New Roman" w:eastAsia="仿宋" w:cs="Times New Roman"/>
                <w:color w:val="auto"/>
                <w:sz w:val="24"/>
                <w:highlight w:val="none"/>
                <w:lang w:val="en-US" w:eastAsia="zh-CN"/>
              </w:rPr>
            </w:pPr>
            <w:r>
              <w:rPr>
                <w:rFonts w:hint="eastAsia" w:ascii="Times New Roman" w:eastAsia="仿宋" w:cs="Times New Roman"/>
                <w:color w:val="auto"/>
                <w:sz w:val="24"/>
                <w:highlight w:val="none"/>
                <w:lang w:val="en-US" w:eastAsia="zh-CN"/>
              </w:rPr>
              <w:t>墙后浆砌块片石</w:t>
            </w:r>
          </w:p>
        </w:tc>
        <w:tc>
          <w:tcPr>
            <w:tcW w:w="468" w:type="pct"/>
            <w:noWrap w:val="0"/>
            <w:vAlign w:val="center"/>
          </w:tcPr>
          <w:p w14:paraId="469C2094">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m3</w:t>
            </w:r>
          </w:p>
        </w:tc>
        <w:tc>
          <w:tcPr>
            <w:tcW w:w="820" w:type="pct"/>
            <w:noWrap w:val="0"/>
            <w:vAlign w:val="center"/>
          </w:tcPr>
          <w:p w14:paraId="3F53F2CF">
            <w:pPr>
              <w:pStyle w:val="58"/>
              <w:rPr>
                <w:rFonts w:hint="default" w:ascii="Times New Roman" w:eastAsia="仿宋" w:cs="Times New Roman"/>
                <w:color w:val="auto"/>
                <w:sz w:val="24"/>
                <w:highlight w:val="none"/>
                <w:lang w:val="en-US" w:eastAsia="zh-CN"/>
              </w:rPr>
            </w:pPr>
            <w:r>
              <w:rPr>
                <w:rFonts w:hint="eastAsia" w:ascii="Times New Roman" w:eastAsia="仿宋" w:cs="Times New Roman"/>
                <w:color w:val="auto"/>
                <w:sz w:val="24"/>
                <w:highlight w:val="none"/>
                <w:lang w:val="en-US" w:eastAsia="zh-CN"/>
              </w:rPr>
              <w:t>220.5</w:t>
            </w:r>
          </w:p>
        </w:tc>
        <w:tc>
          <w:tcPr>
            <w:tcW w:w="1205" w:type="pct"/>
            <w:noWrap/>
            <w:vAlign w:val="center"/>
          </w:tcPr>
          <w:p w14:paraId="3C27CFA2">
            <w:pPr>
              <w:pStyle w:val="58"/>
              <w:rPr>
                <w:rFonts w:hint="eastAsia" w:ascii="Times New Roman" w:hAnsi="Times New Roman" w:eastAsia="仿宋" w:cs="Times New Roman"/>
                <w:color w:val="auto"/>
                <w:sz w:val="24"/>
                <w:highlight w:val="none"/>
                <w:lang w:val="en-US" w:eastAsia="zh-CN"/>
              </w:rPr>
            </w:pPr>
          </w:p>
        </w:tc>
      </w:tr>
      <w:tr w14:paraId="61BA9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90" w:type="pct"/>
            <w:vMerge w:val="continue"/>
            <w:noWrap/>
            <w:vAlign w:val="center"/>
          </w:tcPr>
          <w:p w14:paraId="7E9833B8">
            <w:pPr>
              <w:pStyle w:val="58"/>
              <w:rPr>
                <w:rFonts w:hint="eastAsia" w:ascii="Times New Roman" w:hAnsi="Times New Roman" w:eastAsia="仿宋" w:cs="Times New Roman"/>
                <w:color w:val="auto"/>
                <w:sz w:val="24"/>
                <w:highlight w:val="none"/>
                <w:lang w:val="en-US" w:eastAsia="zh-CN"/>
              </w:rPr>
            </w:pPr>
          </w:p>
        </w:tc>
        <w:tc>
          <w:tcPr>
            <w:tcW w:w="1714" w:type="pct"/>
            <w:noWrap/>
            <w:vAlign w:val="center"/>
          </w:tcPr>
          <w:p w14:paraId="50E07411">
            <w:pPr>
              <w:pStyle w:val="58"/>
              <w:rPr>
                <w:rFonts w:hint="eastAsia" w:ascii="Times New Roman" w:eastAsia="仿宋" w:cs="Times New Roman"/>
                <w:color w:val="auto"/>
                <w:sz w:val="24"/>
                <w:highlight w:val="none"/>
                <w:lang w:val="en-US" w:eastAsia="zh-CN"/>
              </w:rPr>
            </w:pPr>
            <w:r>
              <w:rPr>
                <w:rFonts w:hint="eastAsia" w:ascii="Times New Roman" w:eastAsia="仿宋" w:cs="Times New Roman"/>
                <w:color w:val="auto"/>
                <w:sz w:val="24"/>
                <w:highlight w:val="none"/>
                <w:lang w:val="en-US" w:eastAsia="zh-CN"/>
              </w:rPr>
              <w:t>墙前缓坡回填</w:t>
            </w:r>
          </w:p>
        </w:tc>
        <w:tc>
          <w:tcPr>
            <w:tcW w:w="468" w:type="pct"/>
            <w:shd w:val="clear" w:color="auto" w:fill="auto"/>
            <w:noWrap w:val="0"/>
            <w:vAlign w:val="center"/>
          </w:tcPr>
          <w:p w14:paraId="34AF8666">
            <w:pPr>
              <w:pStyle w:val="58"/>
              <w:rPr>
                <w:rFonts w:hint="default"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m3</w:t>
            </w:r>
          </w:p>
        </w:tc>
        <w:tc>
          <w:tcPr>
            <w:tcW w:w="820" w:type="pct"/>
            <w:shd w:val="clear" w:color="auto" w:fill="auto"/>
            <w:noWrap w:val="0"/>
            <w:vAlign w:val="center"/>
          </w:tcPr>
          <w:p w14:paraId="05DCA2A7">
            <w:pPr>
              <w:pStyle w:val="58"/>
              <w:rPr>
                <w:rFonts w:hint="default" w:ascii="Times New Roman" w:eastAsia="仿宋" w:cs="Times New Roman"/>
                <w:color w:val="auto"/>
                <w:sz w:val="24"/>
                <w:highlight w:val="none"/>
                <w:lang w:val="en-US" w:eastAsia="zh-CN"/>
              </w:rPr>
            </w:pPr>
            <w:r>
              <w:rPr>
                <w:rFonts w:hint="eastAsia" w:ascii="Times New Roman" w:eastAsia="仿宋" w:cs="Times New Roman"/>
                <w:color w:val="auto"/>
                <w:sz w:val="24"/>
                <w:highlight w:val="none"/>
                <w:lang w:val="en-US" w:eastAsia="zh-CN"/>
              </w:rPr>
              <w:t>225</w:t>
            </w:r>
          </w:p>
        </w:tc>
        <w:tc>
          <w:tcPr>
            <w:tcW w:w="1205" w:type="pct"/>
            <w:noWrap/>
            <w:vAlign w:val="center"/>
          </w:tcPr>
          <w:p w14:paraId="21BD6004">
            <w:pPr>
              <w:pStyle w:val="58"/>
              <w:rPr>
                <w:rFonts w:hint="eastAsia" w:ascii="Times New Roman" w:hAnsi="Times New Roman" w:eastAsia="仿宋" w:cs="Times New Roman"/>
                <w:color w:val="auto"/>
                <w:sz w:val="24"/>
                <w:highlight w:val="none"/>
                <w:lang w:val="en-US" w:eastAsia="zh-CN"/>
              </w:rPr>
            </w:pPr>
          </w:p>
        </w:tc>
      </w:tr>
      <w:tr w14:paraId="7F1ED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90" w:type="pct"/>
            <w:vMerge w:val="continue"/>
            <w:noWrap/>
            <w:vAlign w:val="center"/>
          </w:tcPr>
          <w:p w14:paraId="6887DC75">
            <w:pPr>
              <w:pStyle w:val="58"/>
              <w:rPr>
                <w:rFonts w:hint="eastAsia" w:ascii="Times New Roman" w:hAnsi="Times New Roman" w:eastAsia="仿宋" w:cs="Times New Roman"/>
                <w:color w:val="auto"/>
                <w:sz w:val="24"/>
                <w:highlight w:val="none"/>
                <w:lang w:val="en-US" w:eastAsia="zh-CN"/>
              </w:rPr>
            </w:pPr>
          </w:p>
        </w:tc>
        <w:tc>
          <w:tcPr>
            <w:tcW w:w="1714" w:type="pct"/>
            <w:noWrap/>
            <w:vAlign w:val="center"/>
          </w:tcPr>
          <w:p w14:paraId="1F7D9E65">
            <w:pPr>
              <w:pStyle w:val="58"/>
              <w:rPr>
                <w:rFonts w:hint="eastAsia" w:ascii="Times New Roman" w:eastAsia="仿宋" w:cs="Times New Roman"/>
                <w:color w:val="auto"/>
                <w:sz w:val="24"/>
                <w:highlight w:val="none"/>
                <w:lang w:val="en-US" w:eastAsia="zh-CN"/>
              </w:rPr>
            </w:pPr>
            <w:r>
              <w:rPr>
                <w:rFonts w:hint="eastAsia" w:ascii="Times New Roman" w:eastAsia="仿宋" w:cs="Times New Roman"/>
                <w:color w:val="auto"/>
                <w:sz w:val="24"/>
                <w:highlight w:val="none"/>
                <w:lang w:val="en-US" w:eastAsia="zh-CN"/>
              </w:rPr>
              <w:t>墙底基础换填</w:t>
            </w:r>
          </w:p>
        </w:tc>
        <w:tc>
          <w:tcPr>
            <w:tcW w:w="468" w:type="pct"/>
            <w:shd w:val="clear" w:color="auto" w:fill="auto"/>
            <w:noWrap w:val="0"/>
            <w:vAlign w:val="center"/>
          </w:tcPr>
          <w:p w14:paraId="2C883F47">
            <w:pPr>
              <w:pStyle w:val="58"/>
              <w:rPr>
                <w:rFonts w:hint="eastAsia" w:ascii="Times New Roman" w:hAnsi="Times New Roman" w:eastAsia="仿宋" w:cs="Times New Roman"/>
                <w:color w:val="auto"/>
                <w:sz w:val="24"/>
                <w:szCs w:val="24"/>
                <w:highlight w:val="none"/>
                <w:lang w:val="en-US" w:eastAsia="zh-CN" w:bidi="ar-SA"/>
              </w:rPr>
            </w:pPr>
            <w:r>
              <w:rPr>
                <w:rFonts w:hint="eastAsia" w:ascii="Times New Roman" w:hAnsi="Times New Roman" w:eastAsia="仿宋" w:cs="Times New Roman"/>
                <w:color w:val="auto"/>
                <w:sz w:val="24"/>
                <w:highlight w:val="none"/>
                <w:lang w:val="en-US" w:eastAsia="zh-CN"/>
              </w:rPr>
              <w:t>m3</w:t>
            </w:r>
          </w:p>
        </w:tc>
        <w:tc>
          <w:tcPr>
            <w:tcW w:w="820" w:type="pct"/>
            <w:shd w:val="clear" w:color="auto" w:fill="auto"/>
            <w:noWrap w:val="0"/>
            <w:vAlign w:val="center"/>
          </w:tcPr>
          <w:p w14:paraId="5AC858A3">
            <w:pPr>
              <w:pStyle w:val="58"/>
              <w:rPr>
                <w:rFonts w:hint="default" w:ascii="Times New Roman" w:hAnsi="Times New Roman" w:eastAsia="仿宋" w:cs="Times New Roman"/>
                <w:color w:val="auto"/>
                <w:sz w:val="24"/>
                <w:szCs w:val="24"/>
                <w:highlight w:val="none"/>
                <w:lang w:val="en-US" w:eastAsia="zh-CN" w:bidi="ar-SA"/>
              </w:rPr>
            </w:pPr>
            <w:r>
              <w:rPr>
                <w:rFonts w:hint="eastAsia" w:ascii="Times New Roman" w:eastAsia="仿宋" w:cs="Times New Roman"/>
                <w:color w:val="auto"/>
                <w:sz w:val="24"/>
                <w:highlight w:val="none"/>
                <w:lang w:val="en-US" w:eastAsia="zh-CN"/>
              </w:rPr>
              <w:t>204.8</w:t>
            </w:r>
          </w:p>
        </w:tc>
        <w:tc>
          <w:tcPr>
            <w:tcW w:w="1205" w:type="pct"/>
            <w:noWrap/>
            <w:vAlign w:val="center"/>
          </w:tcPr>
          <w:p w14:paraId="454F0433">
            <w:pPr>
              <w:pStyle w:val="58"/>
              <w:rPr>
                <w:rFonts w:hint="eastAsia" w:ascii="Times New Roman" w:hAnsi="Times New Roman" w:eastAsia="仿宋" w:cs="Times New Roman"/>
                <w:color w:val="auto"/>
                <w:sz w:val="24"/>
                <w:highlight w:val="none"/>
                <w:lang w:val="en-US" w:eastAsia="zh-CN"/>
              </w:rPr>
            </w:pPr>
          </w:p>
        </w:tc>
      </w:tr>
      <w:tr w14:paraId="774D1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90" w:type="pct"/>
            <w:vMerge w:val="restart"/>
            <w:noWrap/>
            <w:vAlign w:val="center"/>
          </w:tcPr>
          <w:p w14:paraId="127704EF">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花格植草护坡</w:t>
            </w:r>
          </w:p>
        </w:tc>
        <w:tc>
          <w:tcPr>
            <w:tcW w:w="1714" w:type="pct"/>
            <w:noWrap/>
            <w:vAlign w:val="center"/>
          </w:tcPr>
          <w:p w14:paraId="0397BFA3">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C25砼花格</w:t>
            </w:r>
          </w:p>
        </w:tc>
        <w:tc>
          <w:tcPr>
            <w:tcW w:w="468" w:type="pct"/>
            <w:noWrap w:val="0"/>
            <w:vAlign w:val="center"/>
          </w:tcPr>
          <w:p w14:paraId="64CA9713">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m3</w:t>
            </w:r>
          </w:p>
        </w:tc>
        <w:tc>
          <w:tcPr>
            <w:tcW w:w="820" w:type="pct"/>
            <w:noWrap w:val="0"/>
            <w:vAlign w:val="center"/>
          </w:tcPr>
          <w:p w14:paraId="75980324">
            <w:pPr>
              <w:pStyle w:val="58"/>
              <w:rPr>
                <w:rFonts w:hint="default" w:ascii="Times New Roman" w:hAnsi="Times New Roman" w:eastAsia="仿宋" w:cs="Times New Roman"/>
                <w:color w:val="auto"/>
                <w:sz w:val="24"/>
                <w:highlight w:val="none"/>
                <w:lang w:val="en-US" w:eastAsia="zh-CN"/>
              </w:rPr>
            </w:pPr>
            <w:r>
              <w:rPr>
                <w:rFonts w:hint="eastAsia" w:ascii="Times New Roman" w:eastAsia="仿宋" w:cs="Times New Roman"/>
                <w:color w:val="auto"/>
                <w:sz w:val="24"/>
                <w:highlight w:val="none"/>
                <w:lang w:val="en-US" w:eastAsia="zh-CN"/>
              </w:rPr>
              <w:t>181.7</w:t>
            </w:r>
          </w:p>
        </w:tc>
        <w:tc>
          <w:tcPr>
            <w:tcW w:w="1205" w:type="pct"/>
            <w:noWrap/>
            <w:vAlign w:val="center"/>
          </w:tcPr>
          <w:p w14:paraId="2B9AA739">
            <w:pPr>
              <w:pStyle w:val="58"/>
              <w:rPr>
                <w:rFonts w:hint="eastAsia" w:ascii="Times New Roman" w:hAnsi="Times New Roman" w:eastAsia="仿宋" w:cs="Times New Roman"/>
                <w:color w:val="auto"/>
                <w:sz w:val="24"/>
                <w:highlight w:val="none"/>
                <w:lang w:val="en-US" w:eastAsia="zh-CN"/>
              </w:rPr>
            </w:pPr>
          </w:p>
        </w:tc>
      </w:tr>
      <w:tr w14:paraId="63B05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90" w:type="pct"/>
            <w:vMerge w:val="continue"/>
            <w:noWrap/>
            <w:vAlign w:val="center"/>
          </w:tcPr>
          <w:p w14:paraId="37038596">
            <w:pPr>
              <w:pStyle w:val="58"/>
              <w:rPr>
                <w:rFonts w:hint="eastAsia" w:ascii="Times New Roman" w:hAnsi="Times New Roman" w:eastAsia="仿宋" w:cs="Times New Roman"/>
                <w:color w:val="auto"/>
                <w:sz w:val="24"/>
                <w:highlight w:val="none"/>
                <w:lang w:val="en-US" w:eastAsia="zh-CN"/>
              </w:rPr>
            </w:pPr>
          </w:p>
        </w:tc>
        <w:tc>
          <w:tcPr>
            <w:tcW w:w="1714" w:type="pct"/>
            <w:noWrap/>
            <w:vAlign w:val="center"/>
          </w:tcPr>
          <w:p w14:paraId="101EDAA0">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C25砼压顶梁</w:t>
            </w:r>
          </w:p>
        </w:tc>
        <w:tc>
          <w:tcPr>
            <w:tcW w:w="468" w:type="pct"/>
            <w:noWrap w:val="0"/>
            <w:vAlign w:val="center"/>
          </w:tcPr>
          <w:p w14:paraId="11916D44">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m3</w:t>
            </w:r>
          </w:p>
        </w:tc>
        <w:tc>
          <w:tcPr>
            <w:tcW w:w="820" w:type="pct"/>
            <w:noWrap w:val="0"/>
            <w:vAlign w:val="center"/>
          </w:tcPr>
          <w:p w14:paraId="4328A784">
            <w:pPr>
              <w:pStyle w:val="58"/>
              <w:rPr>
                <w:rFonts w:hint="default" w:ascii="Times New Roman" w:hAnsi="Times New Roman" w:eastAsia="仿宋" w:cs="Times New Roman"/>
                <w:color w:val="auto"/>
                <w:sz w:val="24"/>
                <w:highlight w:val="none"/>
                <w:lang w:val="en-US" w:eastAsia="zh-CN"/>
              </w:rPr>
            </w:pPr>
            <w:r>
              <w:rPr>
                <w:rFonts w:hint="eastAsia" w:ascii="Times New Roman" w:eastAsia="仿宋" w:cs="Times New Roman"/>
                <w:color w:val="auto"/>
                <w:sz w:val="24"/>
                <w:highlight w:val="none"/>
                <w:lang w:val="en-US" w:eastAsia="zh-CN"/>
              </w:rPr>
              <w:t>82.9</w:t>
            </w:r>
          </w:p>
        </w:tc>
        <w:tc>
          <w:tcPr>
            <w:tcW w:w="1205" w:type="pct"/>
            <w:noWrap/>
            <w:vAlign w:val="center"/>
          </w:tcPr>
          <w:p w14:paraId="259E8192">
            <w:pPr>
              <w:pStyle w:val="58"/>
              <w:rPr>
                <w:rFonts w:hint="eastAsia" w:ascii="Times New Roman" w:hAnsi="Times New Roman" w:eastAsia="仿宋" w:cs="Times New Roman"/>
                <w:color w:val="auto"/>
                <w:sz w:val="24"/>
                <w:highlight w:val="none"/>
                <w:lang w:val="en-US" w:eastAsia="zh-CN"/>
              </w:rPr>
            </w:pPr>
          </w:p>
        </w:tc>
      </w:tr>
      <w:tr w14:paraId="3D8D4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90" w:type="pct"/>
            <w:vMerge w:val="continue"/>
            <w:noWrap/>
            <w:vAlign w:val="center"/>
          </w:tcPr>
          <w:p w14:paraId="72B3D6CE">
            <w:pPr>
              <w:pStyle w:val="58"/>
              <w:rPr>
                <w:rFonts w:hint="eastAsia" w:ascii="Times New Roman" w:hAnsi="Times New Roman" w:eastAsia="仿宋" w:cs="Times New Roman"/>
                <w:color w:val="auto"/>
                <w:sz w:val="24"/>
                <w:highlight w:val="none"/>
                <w:lang w:val="en-US" w:eastAsia="zh-CN"/>
              </w:rPr>
            </w:pPr>
          </w:p>
        </w:tc>
        <w:tc>
          <w:tcPr>
            <w:tcW w:w="1714" w:type="pct"/>
            <w:noWrap/>
            <w:vAlign w:val="center"/>
          </w:tcPr>
          <w:p w14:paraId="0C1204D3">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C25砼地梁</w:t>
            </w:r>
          </w:p>
        </w:tc>
        <w:tc>
          <w:tcPr>
            <w:tcW w:w="468" w:type="pct"/>
            <w:noWrap w:val="0"/>
            <w:vAlign w:val="center"/>
          </w:tcPr>
          <w:p w14:paraId="0F10F2FD">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m3</w:t>
            </w:r>
          </w:p>
        </w:tc>
        <w:tc>
          <w:tcPr>
            <w:tcW w:w="820" w:type="pct"/>
            <w:noWrap w:val="0"/>
            <w:vAlign w:val="center"/>
          </w:tcPr>
          <w:p w14:paraId="7302360A">
            <w:pPr>
              <w:pStyle w:val="58"/>
              <w:rPr>
                <w:rFonts w:hint="default" w:ascii="Times New Roman" w:hAnsi="Times New Roman" w:eastAsia="仿宋" w:cs="Times New Roman"/>
                <w:color w:val="auto"/>
                <w:sz w:val="24"/>
                <w:highlight w:val="none"/>
                <w:lang w:val="en-US" w:eastAsia="zh-CN"/>
              </w:rPr>
            </w:pPr>
            <w:r>
              <w:rPr>
                <w:rFonts w:hint="eastAsia" w:ascii="Times New Roman" w:eastAsia="仿宋" w:cs="Times New Roman"/>
                <w:color w:val="auto"/>
                <w:sz w:val="24"/>
                <w:highlight w:val="none"/>
                <w:lang w:val="en-US" w:eastAsia="zh-CN"/>
              </w:rPr>
              <w:t>17.0</w:t>
            </w:r>
          </w:p>
        </w:tc>
        <w:tc>
          <w:tcPr>
            <w:tcW w:w="1205" w:type="pct"/>
            <w:noWrap/>
            <w:vAlign w:val="center"/>
          </w:tcPr>
          <w:p w14:paraId="5A7DEFB1">
            <w:pPr>
              <w:pStyle w:val="58"/>
              <w:rPr>
                <w:rFonts w:hint="eastAsia" w:ascii="Times New Roman" w:hAnsi="Times New Roman" w:eastAsia="仿宋" w:cs="Times New Roman"/>
                <w:color w:val="auto"/>
                <w:sz w:val="24"/>
                <w:highlight w:val="none"/>
                <w:lang w:val="en-US" w:eastAsia="zh-CN"/>
              </w:rPr>
            </w:pPr>
          </w:p>
        </w:tc>
      </w:tr>
      <w:tr w14:paraId="4399A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90" w:type="pct"/>
            <w:vMerge w:val="continue"/>
            <w:noWrap/>
            <w:vAlign w:val="center"/>
          </w:tcPr>
          <w:p w14:paraId="6809ACF9">
            <w:pPr>
              <w:pStyle w:val="58"/>
              <w:rPr>
                <w:rFonts w:hint="eastAsia" w:ascii="Times New Roman" w:hAnsi="Times New Roman" w:eastAsia="仿宋" w:cs="Times New Roman"/>
                <w:color w:val="auto"/>
                <w:sz w:val="24"/>
                <w:highlight w:val="none"/>
                <w:lang w:val="en-US" w:eastAsia="zh-CN"/>
              </w:rPr>
            </w:pPr>
          </w:p>
        </w:tc>
        <w:tc>
          <w:tcPr>
            <w:tcW w:w="1714" w:type="pct"/>
            <w:noWrap/>
            <w:vAlign w:val="center"/>
          </w:tcPr>
          <w:p w14:paraId="53E2FF1E">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边坡绿化</w:t>
            </w:r>
          </w:p>
        </w:tc>
        <w:tc>
          <w:tcPr>
            <w:tcW w:w="468" w:type="pct"/>
            <w:noWrap w:val="0"/>
            <w:vAlign w:val="center"/>
          </w:tcPr>
          <w:p w14:paraId="4519E01F">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m2</w:t>
            </w:r>
          </w:p>
        </w:tc>
        <w:tc>
          <w:tcPr>
            <w:tcW w:w="820" w:type="pct"/>
            <w:noWrap w:val="0"/>
            <w:vAlign w:val="center"/>
          </w:tcPr>
          <w:p w14:paraId="6DC9F82D">
            <w:pPr>
              <w:pStyle w:val="58"/>
              <w:rPr>
                <w:rFonts w:hint="default" w:ascii="Times New Roman" w:hAnsi="Times New Roman" w:eastAsia="仿宋" w:cs="Times New Roman"/>
                <w:color w:val="auto"/>
                <w:sz w:val="24"/>
                <w:highlight w:val="none"/>
                <w:lang w:val="en-US" w:eastAsia="zh-CN"/>
              </w:rPr>
            </w:pPr>
            <w:r>
              <w:rPr>
                <w:rFonts w:hint="eastAsia" w:ascii="Times New Roman" w:eastAsia="仿宋" w:cs="Times New Roman"/>
                <w:color w:val="auto"/>
                <w:sz w:val="24"/>
                <w:highlight w:val="none"/>
                <w:lang w:val="en-US" w:eastAsia="zh-CN"/>
              </w:rPr>
              <w:t>1864.5</w:t>
            </w:r>
          </w:p>
        </w:tc>
        <w:tc>
          <w:tcPr>
            <w:tcW w:w="1205" w:type="pct"/>
            <w:noWrap/>
            <w:vAlign w:val="center"/>
          </w:tcPr>
          <w:p w14:paraId="09778A29">
            <w:pPr>
              <w:pStyle w:val="58"/>
              <w:rPr>
                <w:rFonts w:hint="eastAsia" w:ascii="Times New Roman" w:hAnsi="Times New Roman" w:eastAsia="仿宋" w:cs="Times New Roman"/>
                <w:color w:val="auto"/>
                <w:sz w:val="24"/>
                <w:highlight w:val="none"/>
                <w:lang w:val="en-US" w:eastAsia="zh-CN"/>
              </w:rPr>
            </w:pPr>
            <w:r>
              <w:rPr>
                <w:rFonts w:hint="eastAsia" w:ascii="Times New Roman" w:hAnsi="Times New Roman" w:eastAsia="仿宋" w:cs="Times New Roman"/>
                <w:color w:val="auto"/>
                <w:sz w:val="24"/>
                <w:highlight w:val="none"/>
                <w:lang w:val="en-US" w:eastAsia="zh-CN"/>
              </w:rPr>
              <w:t>包含喷播植草</w:t>
            </w:r>
          </w:p>
        </w:tc>
      </w:tr>
      <w:tr w14:paraId="3868D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000" w:type="pct"/>
            <w:gridSpan w:val="5"/>
            <w:noWrap/>
            <w:vAlign w:val="center"/>
          </w:tcPr>
          <w:p w14:paraId="4A16EB97">
            <w:pPr>
              <w:pStyle w:val="58"/>
              <w:jc w:val="both"/>
              <w:rPr>
                <w:rFonts w:hint="eastAsia" w:ascii="Times New Roman" w:eastAsia="仿宋" w:cs="Times New Roman"/>
                <w:color w:val="auto"/>
                <w:sz w:val="24"/>
                <w:highlight w:val="none"/>
                <w:lang w:val="en-US" w:eastAsia="zh-CN"/>
              </w:rPr>
            </w:pPr>
            <w:r>
              <w:rPr>
                <w:rFonts w:hint="eastAsia" w:ascii="Times New Roman" w:eastAsia="仿宋" w:cs="Times New Roman"/>
                <w:color w:val="auto"/>
                <w:sz w:val="24"/>
                <w:highlight w:val="none"/>
                <w:lang w:val="en-US" w:eastAsia="zh-CN"/>
              </w:rPr>
              <w:t>备注：（1）施工期间临时截排水沟应根据现场实际发生收方为准；（2）挡墙成型后排水沟及其周边硬化工程量根据现场实际发生收方为准；（3）本工程量仅供参考，具体以实际发生量为准。</w:t>
            </w:r>
          </w:p>
        </w:tc>
      </w:tr>
    </w:tbl>
    <w:p w14:paraId="6C835362">
      <w:pPr>
        <w:snapToGrid w:val="0"/>
        <w:spacing w:line="240" w:lineRule="auto"/>
        <w:ind w:firstLine="562"/>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rPr>
        <w:t>注：</w:t>
      </w:r>
    </w:p>
    <w:p w14:paraId="093251A5">
      <w:pPr>
        <w:snapToGrid w:val="0"/>
        <w:spacing w:line="240" w:lineRule="auto"/>
        <w:ind w:firstLine="562"/>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lang w:val="en-US" w:eastAsia="zh-CN"/>
        </w:rPr>
        <w:t>1</w:t>
      </w:r>
      <w:r>
        <w:rPr>
          <w:rFonts w:hint="eastAsia" w:ascii="仿宋" w:hAnsi="仿宋" w:eastAsia="仿宋" w:cs="仿宋"/>
          <w:b/>
          <w:bCs/>
          <w:color w:val="auto"/>
          <w:szCs w:val="28"/>
          <w:highlight w:val="none"/>
        </w:rPr>
        <w:t>、施工期间交通组织由施工单位根据自身实力和施工机具进行交通组织，并编制施工期间交通组织专项设计报交警部门认可。</w:t>
      </w:r>
    </w:p>
    <w:p w14:paraId="2E19E43A">
      <w:pPr>
        <w:ind w:firstLine="562"/>
        <w:rPr>
          <w:rFonts w:hint="eastAsia" w:ascii="仿宋" w:hAnsi="仿宋" w:eastAsia="仿宋" w:cs="仿宋"/>
          <w:b/>
          <w:color w:val="auto"/>
          <w:szCs w:val="28"/>
          <w:highlight w:val="none"/>
        </w:rPr>
      </w:pPr>
      <w:r>
        <w:rPr>
          <w:rFonts w:hint="eastAsia" w:ascii="仿宋" w:hAnsi="仿宋" w:eastAsia="仿宋" w:cs="仿宋"/>
          <w:b/>
          <w:color w:val="auto"/>
          <w:kern w:val="0"/>
          <w:szCs w:val="28"/>
          <w:highlight w:val="none"/>
          <w:lang w:val="en-US" w:eastAsia="zh-CN" w:bidi="en-US"/>
        </w:rPr>
        <w:t>2</w:t>
      </w:r>
      <w:r>
        <w:rPr>
          <w:rFonts w:hint="eastAsia" w:ascii="仿宋" w:hAnsi="仿宋" w:eastAsia="仿宋" w:cs="仿宋"/>
          <w:b/>
          <w:color w:val="auto"/>
          <w:kern w:val="0"/>
          <w:szCs w:val="28"/>
          <w:highlight w:val="none"/>
          <w:lang w:bidi="en-US"/>
        </w:rPr>
        <w:t>、本次工程量仅作为参考，具体以实际发生量计。</w:t>
      </w:r>
      <w:bookmarkStart w:id="91" w:name="_GoBack"/>
      <w:bookmarkEnd w:id="91"/>
    </w:p>
    <w:sectPr>
      <w:type w:val="continuous"/>
      <w:pgSz w:w="23811" w:h="16838" w:orient="landscape"/>
      <w:pgMar w:top="1800" w:right="1440" w:bottom="1800" w:left="1440" w:header="283" w:footer="283" w:gutter="0"/>
      <w:cols w:space="425" w:num="2"/>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CMRID">
    <w:altName w:val="宋体"/>
    <w:panose1 w:val="02010609030101010101"/>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E40A2">
    <w:pPr>
      <w:pStyle w:val="15"/>
      <w:ind w:firstLine="0" w:firstLineChars="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0317E">
    <w:pPr>
      <w:pStyle w:val="16"/>
      <w:pBdr>
        <w:bottom w:val="none" w:color="auto" w:sz="0" w:space="0"/>
      </w:pBdr>
      <w:tabs>
        <w:tab w:val="left" w:pos="10575"/>
        <w:tab w:val="center" w:pos="10827"/>
      </w:tabs>
      <w:ind w:firstLine="360"/>
      <w:jc w:val="left"/>
    </w:pPr>
    <w:r>
      <w:tab/>
    </w:r>
    <w:r>
      <w:tab/>
    </w:r>
    <w:r>
      <w:tab/>
    </w:r>
  </w:p>
  <w:p w14:paraId="5E270520">
    <w:pPr>
      <w:pStyle w:val="16"/>
      <w:pBdr>
        <w:bottom w:val="none" w:color="auto" w:sz="0" w:space="0"/>
      </w:pBdr>
      <w:ind w:firstLine="0" w:firstLineChars="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745F80"/>
    <w:multiLevelType w:val="singleLevel"/>
    <w:tmpl w:val="C9745F80"/>
    <w:lvl w:ilvl="0" w:tentative="0">
      <w:start w:val="3"/>
      <w:numFmt w:val="decimal"/>
      <w:suff w:val="nothing"/>
      <w:lvlText w:val="（%1）"/>
      <w:lvlJc w:val="left"/>
    </w:lvl>
  </w:abstractNum>
  <w:abstractNum w:abstractNumId="1">
    <w:nsid w:val="FD60D27C"/>
    <w:multiLevelType w:val="singleLevel"/>
    <w:tmpl w:val="FD60D27C"/>
    <w:lvl w:ilvl="0" w:tentative="0">
      <w:start w:val="1"/>
      <w:numFmt w:val="decimal"/>
      <w:suff w:val="nothing"/>
      <w:lvlText w:val="（%1）"/>
      <w:lvlJc w:val="left"/>
    </w:lvl>
  </w:abstractNum>
  <w:abstractNum w:abstractNumId="2">
    <w:nsid w:val="113C988C"/>
    <w:multiLevelType w:val="singleLevel"/>
    <w:tmpl w:val="113C988C"/>
    <w:lvl w:ilvl="0" w:tentative="0">
      <w:start w:val="1"/>
      <w:numFmt w:val="decimal"/>
      <w:suff w:val="nothing"/>
      <w:lvlText w:val="%1）"/>
      <w:lvlJc w:val="left"/>
    </w:lvl>
  </w:abstractNum>
  <w:abstractNum w:abstractNumId="3">
    <w:nsid w:val="1FB06269"/>
    <w:multiLevelType w:val="multilevel"/>
    <w:tmpl w:val="1FB06269"/>
    <w:lvl w:ilvl="0" w:tentative="0">
      <w:start w:val="1"/>
      <w:numFmt w:val="japaneseCounting"/>
      <w:lvlText w:val="%1、"/>
      <w:lvlJc w:val="left"/>
      <w:pPr>
        <w:ind w:left="600" w:hanging="60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40B57AF"/>
    <w:multiLevelType w:val="singleLevel"/>
    <w:tmpl w:val="440B57AF"/>
    <w:lvl w:ilvl="0" w:tentative="0">
      <w:start w:val="1"/>
      <w:numFmt w:val="decimal"/>
      <w:suff w:val="nothing"/>
      <w:lvlText w:val="（%1）"/>
      <w:lvlJc w:val="left"/>
    </w:lvl>
  </w:abstractNum>
  <w:abstractNum w:abstractNumId="5">
    <w:nsid w:val="55137B7E"/>
    <w:multiLevelType w:val="multilevel"/>
    <w:tmpl w:val="55137B7E"/>
    <w:lvl w:ilvl="0" w:tentative="0">
      <w:start w:val="1"/>
      <w:numFmt w:val="decimal"/>
      <w:suff w:val="space"/>
      <w:lvlText w:val="%1 "/>
      <w:lvlJc w:val="left"/>
      <w:pPr>
        <w:ind w:left="0" w:firstLine="0"/>
      </w:pPr>
      <w:rPr>
        <w:rFonts w:hint="default" w:ascii="Arial" w:hAnsi="Arial" w:eastAsia="黑体"/>
        <w:b w:val="0"/>
        <w:i w:val="0"/>
        <w:sz w:val="36"/>
        <w:szCs w:val="32"/>
      </w:rPr>
    </w:lvl>
    <w:lvl w:ilvl="1" w:tentative="0">
      <w:start w:val="1"/>
      <w:numFmt w:val="decimal"/>
      <w:suff w:val="space"/>
      <w:lvlText w:val="%1.%2 "/>
      <w:lvlJc w:val="left"/>
      <w:pPr>
        <w:ind w:left="0" w:firstLine="0"/>
      </w:pPr>
      <w:rPr>
        <w:rFonts w:hint="default" w:ascii="Arial" w:hAnsi="Arial" w:eastAsia="黑体"/>
        <w:b w:val="0"/>
        <w:i w:val="0"/>
        <w:color w:val="auto"/>
        <w:sz w:val="32"/>
        <w:szCs w:val="28"/>
        <w:u w:val="none"/>
      </w:rPr>
    </w:lvl>
    <w:lvl w:ilvl="2" w:tentative="0">
      <w:start w:val="1"/>
      <w:numFmt w:val="decimal"/>
      <w:suff w:val="space"/>
      <w:lvlText w:val="%1.%2.%3 "/>
      <w:lvlJc w:val="left"/>
      <w:pPr>
        <w:ind w:left="0" w:firstLine="0"/>
      </w:pPr>
      <w:rPr>
        <w:rFonts w:hint="default" w:ascii="Arial" w:hAnsi="Arial" w:eastAsia="方正小标宋_GBK"/>
        <w:b w:val="0"/>
        <w:i w:val="0"/>
        <w:sz w:val="28"/>
        <w:szCs w:val="24"/>
      </w:rPr>
    </w:lvl>
    <w:lvl w:ilvl="3" w:tentative="0">
      <w:start w:val="1"/>
      <w:numFmt w:val="decimal"/>
      <w:suff w:val="space"/>
      <w:lvlText w:val="%1.%2.%3.%4 "/>
      <w:lvlJc w:val="left"/>
      <w:pPr>
        <w:ind w:left="3828" w:firstLine="0"/>
      </w:pPr>
    </w:lvl>
    <w:lvl w:ilvl="4" w:tentative="0">
      <w:start w:val="1"/>
      <w:numFmt w:val="decimal"/>
      <w:suff w:val="nothing"/>
      <w:lvlText w:val="%5） "/>
      <w:lvlJc w:val="left"/>
      <w:pPr>
        <w:ind w:left="0" w:firstLine="0"/>
      </w:pPr>
      <w:rPr>
        <w:rFonts w:hint="eastAsia" w:ascii="楷体_GB2312" w:hAnsi="Arial" w:eastAsia="楷体_GB2312"/>
        <w:b w:val="0"/>
        <w:i w:val="0"/>
        <w:sz w:val="28"/>
      </w:rPr>
    </w:lvl>
    <w:lvl w:ilvl="5" w:tentative="0">
      <w:start w:val="1"/>
      <w:numFmt w:val="decimal"/>
      <w:suff w:val="nothing"/>
      <w:lvlText w:val="（%6） "/>
      <w:lvlJc w:val="left"/>
      <w:pPr>
        <w:ind w:left="0" w:firstLine="0"/>
      </w:pPr>
      <w:rPr>
        <w:rFonts w:hint="eastAsia" w:ascii="仿宋_GB2312" w:hAnsi="Arial" w:eastAsia="仿宋_GB2312"/>
        <w:b w:val="0"/>
        <w:i w:val="0"/>
        <w:sz w:val="28"/>
      </w:rPr>
    </w:lvl>
    <w:lvl w:ilvl="6" w:tentative="0">
      <w:start w:val="1"/>
      <w:numFmt w:val="upperLetter"/>
      <w:suff w:val="nothing"/>
      <w:lvlText w:val="%7）"/>
      <w:lvlJc w:val="left"/>
      <w:pPr>
        <w:ind w:left="0" w:firstLine="0"/>
      </w:pPr>
      <w:rPr>
        <w:rFonts w:hint="default"/>
      </w:rPr>
    </w:lvl>
    <w:lvl w:ilvl="7" w:tentative="0">
      <w:start w:val="1"/>
      <w:numFmt w:val="decimal"/>
      <w:lvlRestart w:val="2"/>
      <w:suff w:val="nothing"/>
      <w:lvlText w:val="图 %1.%2-%8  "/>
      <w:lvlJc w:val="left"/>
      <w:pPr>
        <w:ind w:left="0" w:firstLine="0"/>
      </w:pPr>
      <w:rPr>
        <w:rFonts w:hint="eastAsia" w:ascii="黑体" w:eastAsia="黑体"/>
        <w:b w:val="0"/>
        <w:i w:val="0"/>
        <w:vanish w:val="0"/>
        <w:sz w:val="24"/>
      </w:rPr>
    </w:lvl>
    <w:lvl w:ilvl="8" w:tentative="0">
      <w:start w:val="1"/>
      <w:numFmt w:val="decimal"/>
      <w:lvlRestart w:val="2"/>
      <w:suff w:val="nothing"/>
      <w:lvlText w:val="表 %1.%2-%9 "/>
      <w:lvlJc w:val="left"/>
      <w:pPr>
        <w:ind w:left="0" w:firstLine="0"/>
      </w:pPr>
      <w:rPr>
        <w:rFonts w:hint="eastAsia" w:ascii="黑体" w:hAnsi="黑体" w:eastAsia="黑体"/>
        <w:b w:val="0"/>
        <w:i w:val="0"/>
        <w:sz w:val="24"/>
      </w:rPr>
    </w:lvl>
  </w:abstractNum>
  <w:num w:numId="1">
    <w:abstractNumId w:val="3"/>
  </w:num>
  <w:num w:numId="2">
    <w:abstractNumId w:val="2"/>
  </w:num>
  <w:num w:numId="3">
    <w:abstractNumId w:val="0"/>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0ODE1ODQ4MGEyNzUzOGZiMmEzM2RlNGVkZWUzNzkifQ=="/>
  </w:docVars>
  <w:rsids>
    <w:rsidRoot w:val="002E6279"/>
    <w:rsid w:val="00002CDE"/>
    <w:rsid w:val="00005A36"/>
    <w:rsid w:val="00014B19"/>
    <w:rsid w:val="0001706E"/>
    <w:rsid w:val="00017F02"/>
    <w:rsid w:val="0002136B"/>
    <w:rsid w:val="00022390"/>
    <w:rsid w:val="00026571"/>
    <w:rsid w:val="00032B36"/>
    <w:rsid w:val="00035E83"/>
    <w:rsid w:val="00036CBE"/>
    <w:rsid w:val="00040377"/>
    <w:rsid w:val="0004209F"/>
    <w:rsid w:val="00043B35"/>
    <w:rsid w:val="00046B97"/>
    <w:rsid w:val="000538DB"/>
    <w:rsid w:val="00054AC5"/>
    <w:rsid w:val="00057BA6"/>
    <w:rsid w:val="00066DA0"/>
    <w:rsid w:val="000718D9"/>
    <w:rsid w:val="00075240"/>
    <w:rsid w:val="000776A3"/>
    <w:rsid w:val="00081EB7"/>
    <w:rsid w:val="00083F7D"/>
    <w:rsid w:val="00084CC0"/>
    <w:rsid w:val="00097BF4"/>
    <w:rsid w:val="000A3A27"/>
    <w:rsid w:val="000A4473"/>
    <w:rsid w:val="000C1633"/>
    <w:rsid w:val="000C17D5"/>
    <w:rsid w:val="000D6D73"/>
    <w:rsid w:val="000E0CC2"/>
    <w:rsid w:val="000E1697"/>
    <w:rsid w:val="000E6A20"/>
    <w:rsid w:val="000E6C46"/>
    <w:rsid w:val="000F03B1"/>
    <w:rsid w:val="000F29C4"/>
    <w:rsid w:val="00106776"/>
    <w:rsid w:val="001106ED"/>
    <w:rsid w:val="001118BF"/>
    <w:rsid w:val="00117C1A"/>
    <w:rsid w:val="0012111D"/>
    <w:rsid w:val="001239CD"/>
    <w:rsid w:val="0012503D"/>
    <w:rsid w:val="001262D7"/>
    <w:rsid w:val="00131EF1"/>
    <w:rsid w:val="00136236"/>
    <w:rsid w:val="00136DD8"/>
    <w:rsid w:val="00140935"/>
    <w:rsid w:val="00141D1F"/>
    <w:rsid w:val="00152E1E"/>
    <w:rsid w:val="001557FA"/>
    <w:rsid w:val="00163CFE"/>
    <w:rsid w:val="00164C96"/>
    <w:rsid w:val="001705C9"/>
    <w:rsid w:val="00176A96"/>
    <w:rsid w:val="00176F8F"/>
    <w:rsid w:val="001806A7"/>
    <w:rsid w:val="00182B2C"/>
    <w:rsid w:val="001862EF"/>
    <w:rsid w:val="0019239A"/>
    <w:rsid w:val="00194071"/>
    <w:rsid w:val="001954C2"/>
    <w:rsid w:val="001B24B9"/>
    <w:rsid w:val="001C1377"/>
    <w:rsid w:val="001C6238"/>
    <w:rsid w:val="001D050D"/>
    <w:rsid w:val="001D11B1"/>
    <w:rsid w:val="001D5503"/>
    <w:rsid w:val="001E3602"/>
    <w:rsid w:val="001E5B3D"/>
    <w:rsid w:val="001E5D9D"/>
    <w:rsid w:val="001F1F72"/>
    <w:rsid w:val="001F2E7D"/>
    <w:rsid w:val="001F6A5A"/>
    <w:rsid w:val="00200386"/>
    <w:rsid w:val="00200D8D"/>
    <w:rsid w:val="00204C0A"/>
    <w:rsid w:val="00204EF3"/>
    <w:rsid w:val="0020513B"/>
    <w:rsid w:val="00207013"/>
    <w:rsid w:val="00207A72"/>
    <w:rsid w:val="00213BBE"/>
    <w:rsid w:val="00215932"/>
    <w:rsid w:val="00224686"/>
    <w:rsid w:val="0023527F"/>
    <w:rsid w:val="002419CC"/>
    <w:rsid w:val="0024343D"/>
    <w:rsid w:val="002611CE"/>
    <w:rsid w:val="002630BB"/>
    <w:rsid w:val="002635D8"/>
    <w:rsid w:val="0026451C"/>
    <w:rsid w:val="00267190"/>
    <w:rsid w:val="00270E60"/>
    <w:rsid w:val="00285BDD"/>
    <w:rsid w:val="00285F75"/>
    <w:rsid w:val="00290F50"/>
    <w:rsid w:val="00295148"/>
    <w:rsid w:val="00297B14"/>
    <w:rsid w:val="002A0339"/>
    <w:rsid w:val="002A268B"/>
    <w:rsid w:val="002A62BF"/>
    <w:rsid w:val="002A63E2"/>
    <w:rsid w:val="002B0613"/>
    <w:rsid w:val="002B3B25"/>
    <w:rsid w:val="002B54BD"/>
    <w:rsid w:val="002B7DAD"/>
    <w:rsid w:val="002D3618"/>
    <w:rsid w:val="002D532C"/>
    <w:rsid w:val="002D59DB"/>
    <w:rsid w:val="002E0E7F"/>
    <w:rsid w:val="002E51AA"/>
    <w:rsid w:val="002E6279"/>
    <w:rsid w:val="002F07CB"/>
    <w:rsid w:val="002F0989"/>
    <w:rsid w:val="002F12C9"/>
    <w:rsid w:val="002F6C78"/>
    <w:rsid w:val="0030282A"/>
    <w:rsid w:val="00304863"/>
    <w:rsid w:val="00310DCB"/>
    <w:rsid w:val="00313E8E"/>
    <w:rsid w:val="0031406B"/>
    <w:rsid w:val="00314338"/>
    <w:rsid w:val="0034428B"/>
    <w:rsid w:val="0034429C"/>
    <w:rsid w:val="00362A9D"/>
    <w:rsid w:val="00366273"/>
    <w:rsid w:val="0036743A"/>
    <w:rsid w:val="00371774"/>
    <w:rsid w:val="003740F5"/>
    <w:rsid w:val="003751B8"/>
    <w:rsid w:val="00380949"/>
    <w:rsid w:val="00381DDF"/>
    <w:rsid w:val="00383F55"/>
    <w:rsid w:val="00390BD2"/>
    <w:rsid w:val="00392A06"/>
    <w:rsid w:val="00397A37"/>
    <w:rsid w:val="00397E80"/>
    <w:rsid w:val="003A0780"/>
    <w:rsid w:val="003A0CC4"/>
    <w:rsid w:val="003A0EE4"/>
    <w:rsid w:val="003B07A6"/>
    <w:rsid w:val="003B55BE"/>
    <w:rsid w:val="003C3714"/>
    <w:rsid w:val="003D25D0"/>
    <w:rsid w:val="003E5DB3"/>
    <w:rsid w:val="003F4485"/>
    <w:rsid w:val="003F5EDF"/>
    <w:rsid w:val="0041048D"/>
    <w:rsid w:val="004143B1"/>
    <w:rsid w:val="004163EA"/>
    <w:rsid w:val="0042013A"/>
    <w:rsid w:val="00420C9F"/>
    <w:rsid w:val="00425177"/>
    <w:rsid w:val="00426903"/>
    <w:rsid w:val="00426A73"/>
    <w:rsid w:val="00427759"/>
    <w:rsid w:val="00442894"/>
    <w:rsid w:val="00444736"/>
    <w:rsid w:val="004529D9"/>
    <w:rsid w:val="0046297A"/>
    <w:rsid w:val="00463CF6"/>
    <w:rsid w:val="00467413"/>
    <w:rsid w:val="00481BA8"/>
    <w:rsid w:val="004909F4"/>
    <w:rsid w:val="00494063"/>
    <w:rsid w:val="00494DA0"/>
    <w:rsid w:val="0049552B"/>
    <w:rsid w:val="004A1261"/>
    <w:rsid w:val="004A58E3"/>
    <w:rsid w:val="004A7EDD"/>
    <w:rsid w:val="004B6491"/>
    <w:rsid w:val="004B7A81"/>
    <w:rsid w:val="004B7C9F"/>
    <w:rsid w:val="004C0647"/>
    <w:rsid w:val="004C0807"/>
    <w:rsid w:val="004C3C59"/>
    <w:rsid w:val="004E364C"/>
    <w:rsid w:val="004E563B"/>
    <w:rsid w:val="004E7F69"/>
    <w:rsid w:val="004F091B"/>
    <w:rsid w:val="004F0CDC"/>
    <w:rsid w:val="004F118B"/>
    <w:rsid w:val="005270C6"/>
    <w:rsid w:val="00530487"/>
    <w:rsid w:val="00544D83"/>
    <w:rsid w:val="00554CAF"/>
    <w:rsid w:val="00561969"/>
    <w:rsid w:val="0056209C"/>
    <w:rsid w:val="00565A5F"/>
    <w:rsid w:val="00565AEA"/>
    <w:rsid w:val="005663DB"/>
    <w:rsid w:val="00571ADE"/>
    <w:rsid w:val="00571F69"/>
    <w:rsid w:val="005764E4"/>
    <w:rsid w:val="005862F8"/>
    <w:rsid w:val="005902BC"/>
    <w:rsid w:val="005A59C3"/>
    <w:rsid w:val="005A5F24"/>
    <w:rsid w:val="005C0952"/>
    <w:rsid w:val="005C102F"/>
    <w:rsid w:val="005C3A19"/>
    <w:rsid w:val="005C5D26"/>
    <w:rsid w:val="005C6397"/>
    <w:rsid w:val="005D0B68"/>
    <w:rsid w:val="005E79C7"/>
    <w:rsid w:val="005F1EC3"/>
    <w:rsid w:val="005F217C"/>
    <w:rsid w:val="005F6CD6"/>
    <w:rsid w:val="005F762A"/>
    <w:rsid w:val="00600519"/>
    <w:rsid w:val="006022C7"/>
    <w:rsid w:val="0060234F"/>
    <w:rsid w:val="006043B3"/>
    <w:rsid w:val="0060533B"/>
    <w:rsid w:val="0060568D"/>
    <w:rsid w:val="00606231"/>
    <w:rsid w:val="00614F2D"/>
    <w:rsid w:val="00617DB1"/>
    <w:rsid w:val="00624A56"/>
    <w:rsid w:val="00631654"/>
    <w:rsid w:val="0063354C"/>
    <w:rsid w:val="00634A8D"/>
    <w:rsid w:val="00637D8C"/>
    <w:rsid w:val="00641AB0"/>
    <w:rsid w:val="00655B79"/>
    <w:rsid w:val="00657D49"/>
    <w:rsid w:val="00666074"/>
    <w:rsid w:val="00673C7E"/>
    <w:rsid w:val="00677627"/>
    <w:rsid w:val="00681419"/>
    <w:rsid w:val="00683415"/>
    <w:rsid w:val="006839AA"/>
    <w:rsid w:val="00683E76"/>
    <w:rsid w:val="006A1471"/>
    <w:rsid w:val="006A5B62"/>
    <w:rsid w:val="006C0779"/>
    <w:rsid w:val="006C61CA"/>
    <w:rsid w:val="006C7592"/>
    <w:rsid w:val="006D0CE9"/>
    <w:rsid w:val="006D2932"/>
    <w:rsid w:val="006E0830"/>
    <w:rsid w:val="006E7B61"/>
    <w:rsid w:val="006F69FD"/>
    <w:rsid w:val="006F7E73"/>
    <w:rsid w:val="006F7ED8"/>
    <w:rsid w:val="00700AFB"/>
    <w:rsid w:val="00710498"/>
    <w:rsid w:val="00713122"/>
    <w:rsid w:val="00714023"/>
    <w:rsid w:val="00721CCA"/>
    <w:rsid w:val="00734585"/>
    <w:rsid w:val="00736D2D"/>
    <w:rsid w:val="007406B8"/>
    <w:rsid w:val="00763642"/>
    <w:rsid w:val="00770CE3"/>
    <w:rsid w:val="007715B3"/>
    <w:rsid w:val="00772CA0"/>
    <w:rsid w:val="00773672"/>
    <w:rsid w:val="0077388B"/>
    <w:rsid w:val="00777BA8"/>
    <w:rsid w:val="00777C13"/>
    <w:rsid w:val="007823B5"/>
    <w:rsid w:val="0078576B"/>
    <w:rsid w:val="0079183D"/>
    <w:rsid w:val="007963E1"/>
    <w:rsid w:val="007A16F6"/>
    <w:rsid w:val="007A2BC7"/>
    <w:rsid w:val="007A6EE2"/>
    <w:rsid w:val="007B4496"/>
    <w:rsid w:val="007C36B0"/>
    <w:rsid w:val="007D1645"/>
    <w:rsid w:val="007D354F"/>
    <w:rsid w:val="007D5701"/>
    <w:rsid w:val="007D7BAF"/>
    <w:rsid w:val="007E2000"/>
    <w:rsid w:val="007F2E86"/>
    <w:rsid w:val="008025F0"/>
    <w:rsid w:val="008037F5"/>
    <w:rsid w:val="00804AAB"/>
    <w:rsid w:val="008061C4"/>
    <w:rsid w:val="008115A9"/>
    <w:rsid w:val="008142F8"/>
    <w:rsid w:val="00817B1C"/>
    <w:rsid w:val="00820422"/>
    <w:rsid w:val="00822F05"/>
    <w:rsid w:val="008425E7"/>
    <w:rsid w:val="00847AB8"/>
    <w:rsid w:val="00851329"/>
    <w:rsid w:val="00853718"/>
    <w:rsid w:val="00855924"/>
    <w:rsid w:val="00865250"/>
    <w:rsid w:val="0087098C"/>
    <w:rsid w:val="0087239A"/>
    <w:rsid w:val="0088055B"/>
    <w:rsid w:val="00881E70"/>
    <w:rsid w:val="008945B1"/>
    <w:rsid w:val="00896734"/>
    <w:rsid w:val="00897FA9"/>
    <w:rsid w:val="008A4588"/>
    <w:rsid w:val="008B1B78"/>
    <w:rsid w:val="008B462A"/>
    <w:rsid w:val="008C3DEE"/>
    <w:rsid w:val="008C490B"/>
    <w:rsid w:val="008D4793"/>
    <w:rsid w:val="008D4B83"/>
    <w:rsid w:val="008E3C32"/>
    <w:rsid w:val="008F0C07"/>
    <w:rsid w:val="008F7DF9"/>
    <w:rsid w:val="009071AF"/>
    <w:rsid w:val="009167E2"/>
    <w:rsid w:val="00950DAF"/>
    <w:rsid w:val="00950F50"/>
    <w:rsid w:val="00953277"/>
    <w:rsid w:val="0095352C"/>
    <w:rsid w:val="00954A15"/>
    <w:rsid w:val="009605E3"/>
    <w:rsid w:val="009610EB"/>
    <w:rsid w:val="0096247D"/>
    <w:rsid w:val="00964741"/>
    <w:rsid w:val="0096496F"/>
    <w:rsid w:val="00970158"/>
    <w:rsid w:val="0097026F"/>
    <w:rsid w:val="00970EEB"/>
    <w:rsid w:val="00973FE4"/>
    <w:rsid w:val="009750B2"/>
    <w:rsid w:val="00975DB6"/>
    <w:rsid w:val="00980162"/>
    <w:rsid w:val="00982D1D"/>
    <w:rsid w:val="009846E3"/>
    <w:rsid w:val="009875C4"/>
    <w:rsid w:val="009910E5"/>
    <w:rsid w:val="009949EC"/>
    <w:rsid w:val="009977F3"/>
    <w:rsid w:val="009A4F1C"/>
    <w:rsid w:val="009B198D"/>
    <w:rsid w:val="009B2611"/>
    <w:rsid w:val="009C2111"/>
    <w:rsid w:val="009C4587"/>
    <w:rsid w:val="009D77E7"/>
    <w:rsid w:val="009E0C49"/>
    <w:rsid w:val="009E1076"/>
    <w:rsid w:val="009E5F63"/>
    <w:rsid w:val="009F0258"/>
    <w:rsid w:val="00A02947"/>
    <w:rsid w:val="00A02CDB"/>
    <w:rsid w:val="00A02EE1"/>
    <w:rsid w:val="00A05CFF"/>
    <w:rsid w:val="00A069A6"/>
    <w:rsid w:val="00A132C1"/>
    <w:rsid w:val="00A211EA"/>
    <w:rsid w:val="00A31D9A"/>
    <w:rsid w:val="00A334B1"/>
    <w:rsid w:val="00A43F61"/>
    <w:rsid w:val="00A4580C"/>
    <w:rsid w:val="00A541FE"/>
    <w:rsid w:val="00A625A5"/>
    <w:rsid w:val="00A639D5"/>
    <w:rsid w:val="00A64A6E"/>
    <w:rsid w:val="00A64DAB"/>
    <w:rsid w:val="00A71B59"/>
    <w:rsid w:val="00A74B2B"/>
    <w:rsid w:val="00A807A7"/>
    <w:rsid w:val="00A86DA4"/>
    <w:rsid w:val="00A93265"/>
    <w:rsid w:val="00A97B0D"/>
    <w:rsid w:val="00AA35F1"/>
    <w:rsid w:val="00AA5909"/>
    <w:rsid w:val="00AA59E4"/>
    <w:rsid w:val="00AB062F"/>
    <w:rsid w:val="00AB0B1C"/>
    <w:rsid w:val="00AC0A98"/>
    <w:rsid w:val="00AC25B0"/>
    <w:rsid w:val="00AC3E29"/>
    <w:rsid w:val="00AD7212"/>
    <w:rsid w:val="00AD7D1A"/>
    <w:rsid w:val="00AD7FF4"/>
    <w:rsid w:val="00AE55E8"/>
    <w:rsid w:val="00AF2B98"/>
    <w:rsid w:val="00AF7D72"/>
    <w:rsid w:val="00B01A5A"/>
    <w:rsid w:val="00B02AC1"/>
    <w:rsid w:val="00B07F18"/>
    <w:rsid w:val="00B12B9F"/>
    <w:rsid w:val="00B14C33"/>
    <w:rsid w:val="00B15B66"/>
    <w:rsid w:val="00B15CD5"/>
    <w:rsid w:val="00B16336"/>
    <w:rsid w:val="00B209BB"/>
    <w:rsid w:val="00B223F3"/>
    <w:rsid w:val="00B27D52"/>
    <w:rsid w:val="00B3077F"/>
    <w:rsid w:val="00B32FFD"/>
    <w:rsid w:val="00B37583"/>
    <w:rsid w:val="00B405B1"/>
    <w:rsid w:val="00B43344"/>
    <w:rsid w:val="00B635E3"/>
    <w:rsid w:val="00B65CBA"/>
    <w:rsid w:val="00B82951"/>
    <w:rsid w:val="00B8464B"/>
    <w:rsid w:val="00B86B34"/>
    <w:rsid w:val="00B86BD4"/>
    <w:rsid w:val="00B87F69"/>
    <w:rsid w:val="00B93AAB"/>
    <w:rsid w:val="00B95852"/>
    <w:rsid w:val="00B97EF5"/>
    <w:rsid w:val="00BA0B42"/>
    <w:rsid w:val="00BA2090"/>
    <w:rsid w:val="00BA35A8"/>
    <w:rsid w:val="00BA35B8"/>
    <w:rsid w:val="00BA56ED"/>
    <w:rsid w:val="00BB085C"/>
    <w:rsid w:val="00BB100F"/>
    <w:rsid w:val="00BB275E"/>
    <w:rsid w:val="00BB2D76"/>
    <w:rsid w:val="00BB55D9"/>
    <w:rsid w:val="00BB6283"/>
    <w:rsid w:val="00BC0EBA"/>
    <w:rsid w:val="00BC3DAC"/>
    <w:rsid w:val="00BC5950"/>
    <w:rsid w:val="00BC6CB7"/>
    <w:rsid w:val="00BE025C"/>
    <w:rsid w:val="00BE1936"/>
    <w:rsid w:val="00BE461C"/>
    <w:rsid w:val="00BF0A68"/>
    <w:rsid w:val="00BF3B4C"/>
    <w:rsid w:val="00BF3C10"/>
    <w:rsid w:val="00BF6821"/>
    <w:rsid w:val="00C10967"/>
    <w:rsid w:val="00C12684"/>
    <w:rsid w:val="00C17E59"/>
    <w:rsid w:val="00C22FF6"/>
    <w:rsid w:val="00C232B1"/>
    <w:rsid w:val="00C2344C"/>
    <w:rsid w:val="00C26C7F"/>
    <w:rsid w:val="00C27170"/>
    <w:rsid w:val="00C363D3"/>
    <w:rsid w:val="00C37188"/>
    <w:rsid w:val="00C37555"/>
    <w:rsid w:val="00C377A9"/>
    <w:rsid w:val="00C4652B"/>
    <w:rsid w:val="00C46F18"/>
    <w:rsid w:val="00C52605"/>
    <w:rsid w:val="00C6300E"/>
    <w:rsid w:val="00C6658E"/>
    <w:rsid w:val="00C849AB"/>
    <w:rsid w:val="00C873C9"/>
    <w:rsid w:val="00C90C9E"/>
    <w:rsid w:val="00C93351"/>
    <w:rsid w:val="00C956E7"/>
    <w:rsid w:val="00CA136D"/>
    <w:rsid w:val="00CA4A36"/>
    <w:rsid w:val="00CB388B"/>
    <w:rsid w:val="00CB43C6"/>
    <w:rsid w:val="00CC03E5"/>
    <w:rsid w:val="00CC0D55"/>
    <w:rsid w:val="00CC67C2"/>
    <w:rsid w:val="00CD1201"/>
    <w:rsid w:val="00CD2706"/>
    <w:rsid w:val="00CE2E5E"/>
    <w:rsid w:val="00CE390B"/>
    <w:rsid w:val="00CE6F8A"/>
    <w:rsid w:val="00CE7B9E"/>
    <w:rsid w:val="00CF0327"/>
    <w:rsid w:val="00CF04CF"/>
    <w:rsid w:val="00CF3A9B"/>
    <w:rsid w:val="00CF3C5D"/>
    <w:rsid w:val="00CF6D3E"/>
    <w:rsid w:val="00CF7105"/>
    <w:rsid w:val="00CF7D0D"/>
    <w:rsid w:val="00D047C3"/>
    <w:rsid w:val="00D10FC9"/>
    <w:rsid w:val="00D16E11"/>
    <w:rsid w:val="00D234E8"/>
    <w:rsid w:val="00D267EA"/>
    <w:rsid w:val="00D33711"/>
    <w:rsid w:val="00D36AA3"/>
    <w:rsid w:val="00D37B6C"/>
    <w:rsid w:val="00D43934"/>
    <w:rsid w:val="00D45E7C"/>
    <w:rsid w:val="00D46074"/>
    <w:rsid w:val="00D532B7"/>
    <w:rsid w:val="00D54E8A"/>
    <w:rsid w:val="00D56BA6"/>
    <w:rsid w:val="00D63CE6"/>
    <w:rsid w:val="00D65127"/>
    <w:rsid w:val="00D66D9C"/>
    <w:rsid w:val="00D73EE4"/>
    <w:rsid w:val="00D8224A"/>
    <w:rsid w:val="00D83ECA"/>
    <w:rsid w:val="00D927C8"/>
    <w:rsid w:val="00D973A1"/>
    <w:rsid w:val="00DA072E"/>
    <w:rsid w:val="00DA10FE"/>
    <w:rsid w:val="00DA298D"/>
    <w:rsid w:val="00DA706E"/>
    <w:rsid w:val="00DA7E46"/>
    <w:rsid w:val="00DB0E52"/>
    <w:rsid w:val="00DB1D4B"/>
    <w:rsid w:val="00DB1EFB"/>
    <w:rsid w:val="00DB55B7"/>
    <w:rsid w:val="00DC1657"/>
    <w:rsid w:val="00DC6D5B"/>
    <w:rsid w:val="00DD2CCA"/>
    <w:rsid w:val="00DD4FFE"/>
    <w:rsid w:val="00DE08B7"/>
    <w:rsid w:val="00DE1BB4"/>
    <w:rsid w:val="00DE34E3"/>
    <w:rsid w:val="00DF03BF"/>
    <w:rsid w:val="00E00BF3"/>
    <w:rsid w:val="00E06A84"/>
    <w:rsid w:val="00E116E7"/>
    <w:rsid w:val="00E214C0"/>
    <w:rsid w:val="00E24ABE"/>
    <w:rsid w:val="00E24D0E"/>
    <w:rsid w:val="00E24E3B"/>
    <w:rsid w:val="00E34F59"/>
    <w:rsid w:val="00E35B82"/>
    <w:rsid w:val="00E43253"/>
    <w:rsid w:val="00E43921"/>
    <w:rsid w:val="00E6007A"/>
    <w:rsid w:val="00E60E83"/>
    <w:rsid w:val="00E61380"/>
    <w:rsid w:val="00E61B37"/>
    <w:rsid w:val="00E64B37"/>
    <w:rsid w:val="00E66843"/>
    <w:rsid w:val="00E71438"/>
    <w:rsid w:val="00E72364"/>
    <w:rsid w:val="00E77726"/>
    <w:rsid w:val="00E8094D"/>
    <w:rsid w:val="00E85B14"/>
    <w:rsid w:val="00E938ED"/>
    <w:rsid w:val="00E9544D"/>
    <w:rsid w:val="00EA1334"/>
    <w:rsid w:val="00EC12C1"/>
    <w:rsid w:val="00EC19BF"/>
    <w:rsid w:val="00EC1A73"/>
    <w:rsid w:val="00EC2754"/>
    <w:rsid w:val="00EC49FD"/>
    <w:rsid w:val="00EC7921"/>
    <w:rsid w:val="00ED299F"/>
    <w:rsid w:val="00ED72C3"/>
    <w:rsid w:val="00ED73F5"/>
    <w:rsid w:val="00EE410E"/>
    <w:rsid w:val="00EF4D5F"/>
    <w:rsid w:val="00F03F22"/>
    <w:rsid w:val="00F04F4B"/>
    <w:rsid w:val="00F05C80"/>
    <w:rsid w:val="00F10EF8"/>
    <w:rsid w:val="00F15B6B"/>
    <w:rsid w:val="00F20BAB"/>
    <w:rsid w:val="00F2344E"/>
    <w:rsid w:val="00F261FC"/>
    <w:rsid w:val="00F264A4"/>
    <w:rsid w:val="00F27C12"/>
    <w:rsid w:val="00F37D4A"/>
    <w:rsid w:val="00F45EE9"/>
    <w:rsid w:val="00F51F06"/>
    <w:rsid w:val="00F52896"/>
    <w:rsid w:val="00F528FB"/>
    <w:rsid w:val="00F566C2"/>
    <w:rsid w:val="00F64AC6"/>
    <w:rsid w:val="00F6702C"/>
    <w:rsid w:val="00F73F41"/>
    <w:rsid w:val="00F80023"/>
    <w:rsid w:val="00F838B1"/>
    <w:rsid w:val="00F85A38"/>
    <w:rsid w:val="00F86024"/>
    <w:rsid w:val="00F91F36"/>
    <w:rsid w:val="00F92B13"/>
    <w:rsid w:val="00F9353C"/>
    <w:rsid w:val="00F95DCC"/>
    <w:rsid w:val="00FA1D7C"/>
    <w:rsid w:val="00FA5B6D"/>
    <w:rsid w:val="00FB42C0"/>
    <w:rsid w:val="00FB632A"/>
    <w:rsid w:val="00FB64F5"/>
    <w:rsid w:val="00FB7D9B"/>
    <w:rsid w:val="00FD1649"/>
    <w:rsid w:val="00FD33D8"/>
    <w:rsid w:val="00FD6DD8"/>
    <w:rsid w:val="00FE1259"/>
    <w:rsid w:val="00FE2B65"/>
    <w:rsid w:val="00FE699D"/>
    <w:rsid w:val="00FF0067"/>
    <w:rsid w:val="00FF196C"/>
    <w:rsid w:val="00FF2E68"/>
    <w:rsid w:val="01202D22"/>
    <w:rsid w:val="01A71FD9"/>
    <w:rsid w:val="025E05D3"/>
    <w:rsid w:val="02614383"/>
    <w:rsid w:val="02714395"/>
    <w:rsid w:val="035E57FD"/>
    <w:rsid w:val="0374238F"/>
    <w:rsid w:val="037B7BAD"/>
    <w:rsid w:val="03CC3F79"/>
    <w:rsid w:val="04117BA0"/>
    <w:rsid w:val="04564433"/>
    <w:rsid w:val="050106F7"/>
    <w:rsid w:val="05157EAC"/>
    <w:rsid w:val="05C80770"/>
    <w:rsid w:val="05D114AA"/>
    <w:rsid w:val="062B572E"/>
    <w:rsid w:val="0660207E"/>
    <w:rsid w:val="06FE2AD5"/>
    <w:rsid w:val="0825634E"/>
    <w:rsid w:val="08EB30F3"/>
    <w:rsid w:val="09082248"/>
    <w:rsid w:val="097A6225"/>
    <w:rsid w:val="09D7151E"/>
    <w:rsid w:val="09F77876"/>
    <w:rsid w:val="09FC4E8C"/>
    <w:rsid w:val="0A55610F"/>
    <w:rsid w:val="0A7E6886"/>
    <w:rsid w:val="0B077F8D"/>
    <w:rsid w:val="0B095AB3"/>
    <w:rsid w:val="0B4D0E88"/>
    <w:rsid w:val="0B6902FF"/>
    <w:rsid w:val="0BE1433A"/>
    <w:rsid w:val="0C03126A"/>
    <w:rsid w:val="0C13779A"/>
    <w:rsid w:val="0C2A3F33"/>
    <w:rsid w:val="0C6C7B82"/>
    <w:rsid w:val="0DD423A8"/>
    <w:rsid w:val="0E2F75DE"/>
    <w:rsid w:val="0E7C659C"/>
    <w:rsid w:val="0ED713A0"/>
    <w:rsid w:val="0F0D3A0D"/>
    <w:rsid w:val="0F4254DB"/>
    <w:rsid w:val="0F707EAE"/>
    <w:rsid w:val="0F890F70"/>
    <w:rsid w:val="10196798"/>
    <w:rsid w:val="1037646A"/>
    <w:rsid w:val="110F1949"/>
    <w:rsid w:val="11D435C4"/>
    <w:rsid w:val="12865C3B"/>
    <w:rsid w:val="12A00DB9"/>
    <w:rsid w:val="12F23667"/>
    <w:rsid w:val="12FE0E52"/>
    <w:rsid w:val="13167A2F"/>
    <w:rsid w:val="13B642FE"/>
    <w:rsid w:val="146D70B2"/>
    <w:rsid w:val="14875213"/>
    <w:rsid w:val="14BC5F5A"/>
    <w:rsid w:val="14CF38C9"/>
    <w:rsid w:val="15325C06"/>
    <w:rsid w:val="153D4CD7"/>
    <w:rsid w:val="155102B0"/>
    <w:rsid w:val="156758B0"/>
    <w:rsid w:val="15F15AC1"/>
    <w:rsid w:val="160A26DF"/>
    <w:rsid w:val="1612362B"/>
    <w:rsid w:val="164C3300"/>
    <w:rsid w:val="164C4F28"/>
    <w:rsid w:val="16B72867"/>
    <w:rsid w:val="16C3745D"/>
    <w:rsid w:val="16E670D5"/>
    <w:rsid w:val="16F07B27"/>
    <w:rsid w:val="173D2372"/>
    <w:rsid w:val="176C6BF2"/>
    <w:rsid w:val="1787048B"/>
    <w:rsid w:val="178972A5"/>
    <w:rsid w:val="178D3DBC"/>
    <w:rsid w:val="17A4103D"/>
    <w:rsid w:val="17F91C67"/>
    <w:rsid w:val="18052F39"/>
    <w:rsid w:val="180D3A2A"/>
    <w:rsid w:val="18455166"/>
    <w:rsid w:val="186662F2"/>
    <w:rsid w:val="1901601B"/>
    <w:rsid w:val="19375EE1"/>
    <w:rsid w:val="19AB0116"/>
    <w:rsid w:val="19CE23A1"/>
    <w:rsid w:val="1A09162B"/>
    <w:rsid w:val="1A2B02E3"/>
    <w:rsid w:val="1A3D3F87"/>
    <w:rsid w:val="1A463793"/>
    <w:rsid w:val="1A55661F"/>
    <w:rsid w:val="1A8B64E4"/>
    <w:rsid w:val="1A9143A5"/>
    <w:rsid w:val="1AA650CC"/>
    <w:rsid w:val="1AAB4490"/>
    <w:rsid w:val="1ADF1FD1"/>
    <w:rsid w:val="1AE80C39"/>
    <w:rsid w:val="1AF44089"/>
    <w:rsid w:val="1B147163"/>
    <w:rsid w:val="1B5D00FC"/>
    <w:rsid w:val="1B82423A"/>
    <w:rsid w:val="1B8B7D91"/>
    <w:rsid w:val="1BBC3D57"/>
    <w:rsid w:val="1C9D40B0"/>
    <w:rsid w:val="1CDC6205"/>
    <w:rsid w:val="1D1D0F4A"/>
    <w:rsid w:val="1D4F1A4B"/>
    <w:rsid w:val="1D8B269B"/>
    <w:rsid w:val="1D8B495A"/>
    <w:rsid w:val="1E430E84"/>
    <w:rsid w:val="1E4C0094"/>
    <w:rsid w:val="1E7F5350"/>
    <w:rsid w:val="1E8F40C9"/>
    <w:rsid w:val="1EC41FC5"/>
    <w:rsid w:val="1EE9589D"/>
    <w:rsid w:val="1F401108"/>
    <w:rsid w:val="1F4860F9"/>
    <w:rsid w:val="1F914577"/>
    <w:rsid w:val="1F962B2D"/>
    <w:rsid w:val="1FA12F8C"/>
    <w:rsid w:val="1FAB0A8F"/>
    <w:rsid w:val="1FCE19BB"/>
    <w:rsid w:val="1FE8583F"/>
    <w:rsid w:val="202C1374"/>
    <w:rsid w:val="20564E1C"/>
    <w:rsid w:val="205A2C47"/>
    <w:rsid w:val="206B05CD"/>
    <w:rsid w:val="20B120D5"/>
    <w:rsid w:val="20B66206"/>
    <w:rsid w:val="20DD45C0"/>
    <w:rsid w:val="210B72DE"/>
    <w:rsid w:val="21135885"/>
    <w:rsid w:val="21920158"/>
    <w:rsid w:val="21965A9B"/>
    <w:rsid w:val="21A4580D"/>
    <w:rsid w:val="21AB746C"/>
    <w:rsid w:val="22434B2E"/>
    <w:rsid w:val="224511AE"/>
    <w:rsid w:val="22510F81"/>
    <w:rsid w:val="2256169A"/>
    <w:rsid w:val="227635D6"/>
    <w:rsid w:val="2297354C"/>
    <w:rsid w:val="22FA21D4"/>
    <w:rsid w:val="23075903"/>
    <w:rsid w:val="23A91789"/>
    <w:rsid w:val="23FA10EE"/>
    <w:rsid w:val="247E3413"/>
    <w:rsid w:val="24DD2636"/>
    <w:rsid w:val="25655EC5"/>
    <w:rsid w:val="256C658B"/>
    <w:rsid w:val="25777D91"/>
    <w:rsid w:val="25B0335B"/>
    <w:rsid w:val="25C94365"/>
    <w:rsid w:val="25E450F5"/>
    <w:rsid w:val="26044F26"/>
    <w:rsid w:val="262B2929"/>
    <w:rsid w:val="262F241A"/>
    <w:rsid w:val="265E4AAD"/>
    <w:rsid w:val="26657A78"/>
    <w:rsid w:val="266A16A4"/>
    <w:rsid w:val="268A6D0C"/>
    <w:rsid w:val="26D3251A"/>
    <w:rsid w:val="270513CC"/>
    <w:rsid w:val="27A504B9"/>
    <w:rsid w:val="27C937EA"/>
    <w:rsid w:val="27CB7F20"/>
    <w:rsid w:val="27CF5360"/>
    <w:rsid w:val="27F36F9F"/>
    <w:rsid w:val="281778A7"/>
    <w:rsid w:val="28BE67B4"/>
    <w:rsid w:val="28CD0E1E"/>
    <w:rsid w:val="28D32810"/>
    <w:rsid w:val="29235B3A"/>
    <w:rsid w:val="292531A5"/>
    <w:rsid w:val="29766983"/>
    <w:rsid w:val="29934A6D"/>
    <w:rsid w:val="299D1255"/>
    <w:rsid w:val="29BB2216"/>
    <w:rsid w:val="29C0416E"/>
    <w:rsid w:val="2A0513DE"/>
    <w:rsid w:val="2A187669"/>
    <w:rsid w:val="2A1A6B9A"/>
    <w:rsid w:val="2A247DBB"/>
    <w:rsid w:val="2AB63109"/>
    <w:rsid w:val="2AD8504F"/>
    <w:rsid w:val="2AEA3D4E"/>
    <w:rsid w:val="2B116592"/>
    <w:rsid w:val="2B5A74F0"/>
    <w:rsid w:val="2B5E72FD"/>
    <w:rsid w:val="2B6D6750"/>
    <w:rsid w:val="2B936FA7"/>
    <w:rsid w:val="2BA70CA4"/>
    <w:rsid w:val="2BD77ACC"/>
    <w:rsid w:val="2C0059F2"/>
    <w:rsid w:val="2C2A77B3"/>
    <w:rsid w:val="2C561F40"/>
    <w:rsid w:val="2D9000E0"/>
    <w:rsid w:val="2DCC709E"/>
    <w:rsid w:val="2E255EB0"/>
    <w:rsid w:val="2E9C2616"/>
    <w:rsid w:val="2EBF3AB7"/>
    <w:rsid w:val="2EF266DA"/>
    <w:rsid w:val="2F1228D8"/>
    <w:rsid w:val="2F3F11F4"/>
    <w:rsid w:val="2F462CD4"/>
    <w:rsid w:val="2F772127"/>
    <w:rsid w:val="30000983"/>
    <w:rsid w:val="301F52AD"/>
    <w:rsid w:val="30205426"/>
    <w:rsid w:val="30274161"/>
    <w:rsid w:val="30297EDA"/>
    <w:rsid w:val="308B026D"/>
    <w:rsid w:val="30E4154D"/>
    <w:rsid w:val="311C64BD"/>
    <w:rsid w:val="313905F0"/>
    <w:rsid w:val="31747513"/>
    <w:rsid w:val="31AA329C"/>
    <w:rsid w:val="31AF3B97"/>
    <w:rsid w:val="320209E2"/>
    <w:rsid w:val="323A55AD"/>
    <w:rsid w:val="323D7C6C"/>
    <w:rsid w:val="327C1F2C"/>
    <w:rsid w:val="32851613"/>
    <w:rsid w:val="32AA5162"/>
    <w:rsid w:val="32C43EEA"/>
    <w:rsid w:val="32F06467"/>
    <w:rsid w:val="32FD11AA"/>
    <w:rsid w:val="3304474F"/>
    <w:rsid w:val="330D0A36"/>
    <w:rsid w:val="332108B6"/>
    <w:rsid w:val="334D4D66"/>
    <w:rsid w:val="33977850"/>
    <w:rsid w:val="339E058E"/>
    <w:rsid w:val="33C06DA7"/>
    <w:rsid w:val="33FD4A09"/>
    <w:rsid w:val="34470386"/>
    <w:rsid w:val="344828F8"/>
    <w:rsid w:val="344C063B"/>
    <w:rsid w:val="34866BC9"/>
    <w:rsid w:val="34DD5737"/>
    <w:rsid w:val="34F328E8"/>
    <w:rsid w:val="35260E8C"/>
    <w:rsid w:val="356674DA"/>
    <w:rsid w:val="35F25212"/>
    <w:rsid w:val="36146F36"/>
    <w:rsid w:val="36637EBD"/>
    <w:rsid w:val="36A8051C"/>
    <w:rsid w:val="36EF52AD"/>
    <w:rsid w:val="37074CED"/>
    <w:rsid w:val="37454A52"/>
    <w:rsid w:val="37BD35C0"/>
    <w:rsid w:val="38082ACA"/>
    <w:rsid w:val="381A45AC"/>
    <w:rsid w:val="3895579B"/>
    <w:rsid w:val="38A657D9"/>
    <w:rsid w:val="390F4B99"/>
    <w:rsid w:val="393B4953"/>
    <w:rsid w:val="393F49A1"/>
    <w:rsid w:val="39497780"/>
    <w:rsid w:val="39C61BA5"/>
    <w:rsid w:val="3A4F49E1"/>
    <w:rsid w:val="3A557B1D"/>
    <w:rsid w:val="3A797268"/>
    <w:rsid w:val="3AA56A3E"/>
    <w:rsid w:val="3AA5794C"/>
    <w:rsid w:val="3AAF5EAA"/>
    <w:rsid w:val="3AB10393"/>
    <w:rsid w:val="3ACC2561"/>
    <w:rsid w:val="3B20637D"/>
    <w:rsid w:val="3B3F4A55"/>
    <w:rsid w:val="3B5B5699"/>
    <w:rsid w:val="3B8761F5"/>
    <w:rsid w:val="3B9D3341"/>
    <w:rsid w:val="3C504A40"/>
    <w:rsid w:val="3C696000"/>
    <w:rsid w:val="3C793F97"/>
    <w:rsid w:val="3C850B8E"/>
    <w:rsid w:val="3CC05722"/>
    <w:rsid w:val="3CCB57B6"/>
    <w:rsid w:val="3CDA6666"/>
    <w:rsid w:val="3CE77152"/>
    <w:rsid w:val="3CFD6976"/>
    <w:rsid w:val="3D073351"/>
    <w:rsid w:val="3D666DA0"/>
    <w:rsid w:val="3E1C45D3"/>
    <w:rsid w:val="3E6F57B2"/>
    <w:rsid w:val="3E9709E1"/>
    <w:rsid w:val="3E9F580B"/>
    <w:rsid w:val="3F00274D"/>
    <w:rsid w:val="3F4E170B"/>
    <w:rsid w:val="3F591E5E"/>
    <w:rsid w:val="3F6D3B17"/>
    <w:rsid w:val="3F942E96"/>
    <w:rsid w:val="3FCB2D5B"/>
    <w:rsid w:val="3FEB51AC"/>
    <w:rsid w:val="3FEB7CB3"/>
    <w:rsid w:val="3FFB3BF1"/>
    <w:rsid w:val="401963B2"/>
    <w:rsid w:val="407A652F"/>
    <w:rsid w:val="40AF61D9"/>
    <w:rsid w:val="40B01F51"/>
    <w:rsid w:val="412650CC"/>
    <w:rsid w:val="414B771D"/>
    <w:rsid w:val="41630D72"/>
    <w:rsid w:val="41886A2A"/>
    <w:rsid w:val="41A970CC"/>
    <w:rsid w:val="41FB690A"/>
    <w:rsid w:val="42A930FC"/>
    <w:rsid w:val="42BD4386"/>
    <w:rsid w:val="43212C92"/>
    <w:rsid w:val="432804C5"/>
    <w:rsid w:val="432F4157"/>
    <w:rsid w:val="43857289"/>
    <w:rsid w:val="43912AA7"/>
    <w:rsid w:val="442F3E23"/>
    <w:rsid w:val="44C86445"/>
    <w:rsid w:val="44CF2B36"/>
    <w:rsid w:val="44F56185"/>
    <w:rsid w:val="456B28EB"/>
    <w:rsid w:val="45711606"/>
    <w:rsid w:val="45E05087"/>
    <w:rsid w:val="463A4797"/>
    <w:rsid w:val="463D6035"/>
    <w:rsid w:val="4645630C"/>
    <w:rsid w:val="46565349"/>
    <w:rsid w:val="469B2D5C"/>
    <w:rsid w:val="46DE2A7F"/>
    <w:rsid w:val="47266AC9"/>
    <w:rsid w:val="47503679"/>
    <w:rsid w:val="475E2707"/>
    <w:rsid w:val="4798798B"/>
    <w:rsid w:val="47B02B33"/>
    <w:rsid w:val="48286A07"/>
    <w:rsid w:val="48483132"/>
    <w:rsid w:val="488C2E26"/>
    <w:rsid w:val="48C22822"/>
    <w:rsid w:val="49070198"/>
    <w:rsid w:val="49145D00"/>
    <w:rsid w:val="49334C4E"/>
    <w:rsid w:val="4943037C"/>
    <w:rsid w:val="496976A0"/>
    <w:rsid w:val="49746212"/>
    <w:rsid w:val="49CC433A"/>
    <w:rsid w:val="49D4392C"/>
    <w:rsid w:val="49E70468"/>
    <w:rsid w:val="4A064990"/>
    <w:rsid w:val="4A0B0D31"/>
    <w:rsid w:val="4A136062"/>
    <w:rsid w:val="4A301A0D"/>
    <w:rsid w:val="4A3459A1"/>
    <w:rsid w:val="4A4809B4"/>
    <w:rsid w:val="4A8A3813"/>
    <w:rsid w:val="4A8C1163"/>
    <w:rsid w:val="4AA2290B"/>
    <w:rsid w:val="4AA448D5"/>
    <w:rsid w:val="4AA6069D"/>
    <w:rsid w:val="4AFF6578"/>
    <w:rsid w:val="4B5C1017"/>
    <w:rsid w:val="4B726781"/>
    <w:rsid w:val="4B7B4293"/>
    <w:rsid w:val="4B9C37FE"/>
    <w:rsid w:val="4BA34B8C"/>
    <w:rsid w:val="4BAD5A0B"/>
    <w:rsid w:val="4BF74ED8"/>
    <w:rsid w:val="4BFA1FA3"/>
    <w:rsid w:val="4CBF0E22"/>
    <w:rsid w:val="4CC6456C"/>
    <w:rsid w:val="4CD46FC7"/>
    <w:rsid w:val="4D716BC5"/>
    <w:rsid w:val="4DB766CD"/>
    <w:rsid w:val="4E04109A"/>
    <w:rsid w:val="4E4168DE"/>
    <w:rsid w:val="4E556430"/>
    <w:rsid w:val="4E832A53"/>
    <w:rsid w:val="4E996D4B"/>
    <w:rsid w:val="4F455C92"/>
    <w:rsid w:val="4F701847"/>
    <w:rsid w:val="4F974A08"/>
    <w:rsid w:val="4FAE23FD"/>
    <w:rsid w:val="4FC70F3F"/>
    <w:rsid w:val="4FD7012C"/>
    <w:rsid w:val="4FD95020"/>
    <w:rsid w:val="5019541D"/>
    <w:rsid w:val="50250EA0"/>
    <w:rsid w:val="5038161B"/>
    <w:rsid w:val="50B14E4E"/>
    <w:rsid w:val="51BA0D69"/>
    <w:rsid w:val="51BC4563"/>
    <w:rsid w:val="51DB6702"/>
    <w:rsid w:val="51E60E5D"/>
    <w:rsid w:val="521F3DAB"/>
    <w:rsid w:val="523C4164"/>
    <w:rsid w:val="525F7333"/>
    <w:rsid w:val="53304020"/>
    <w:rsid w:val="539B25ED"/>
    <w:rsid w:val="539F0FE9"/>
    <w:rsid w:val="53A15368"/>
    <w:rsid w:val="53AB0A82"/>
    <w:rsid w:val="53D702BB"/>
    <w:rsid w:val="53F36F74"/>
    <w:rsid w:val="54001133"/>
    <w:rsid w:val="540463E4"/>
    <w:rsid w:val="540D369C"/>
    <w:rsid w:val="54215659"/>
    <w:rsid w:val="544A0085"/>
    <w:rsid w:val="54501A55"/>
    <w:rsid w:val="546724CF"/>
    <w:rsid w:val="548B2403"/>
    <w:rsid w:val="54D93160"/>
    <w:rsid w:val="554967A4"/>
    <w:rsid w:val="559776AC"/>
    <w:rsid w:val="55BA1450"/>
    <w:rsid w:val="55CC4CE0"/>
    <w:rsid w:val="55DD34AB"/>
    <w:rsid w:val="55F61D5C"/>
    <w:rsid w:val="56C10B79"/>
    <w:rsid w:val="57193F55"/>
    <w:rsid w:val="573A3352"/>
    <w:rsid w:val="57620C73"/>
    <w:rsid w:val="577D1316"/>
    <w:rsid w:val="57D81665"/>
    <w:rsid w:val="57DC3785"/>
    <w:rsid w:val="581F559B"/>
    <w:rsid w:val="583848AE"/>
    <w:rsid w:val="586B744D"/>
    <w:rsid w:val="58A12453"/>
    <w:rsid w:val="593705EE"/>
    <w:rsid w:val="596D09B6"/>
    <w:rsid w:val="59BB7545"/>
    <w:rsid w:val="59DB3743"/>
    <w:rsid w:val="59FD0AEE"/>
    <w:rsid w:val="5A32392B"/>
    <w:rsid w:val="5A640949"/>
    <w:rsid w:val="5AA36E51"/>
    <w:rsid w:val="5AA47FD9"/>
    <w:rsid w:val="5ABF3C63"/>
    <w:rsid w:val="5C554F53"/>
    <w:rsid w:val="5CAB1AF3"/>
    <w:rsid w:val="5CBD35D4"/>
    <w:rsid w:val="5CC579DF"/>
    <w:rsid w:val="5D2418A5"/>
    <w:rsid w:val="5D38043B"/>
    <w:rsid w:val="5D3F66DF"/>
    <w:rsid w:val="5D6972B8"/>
    <w:rsid w:val="5DB42C29"/>
    <w:rsid w:val="5E111E29"/>
    <w:rsid w:val="5E317DD6"/>
    <w:rsid w:val="5E4A0E97"/>
    <w:rsid w:val="5E5639F0"/>
    <w:rsid w:val="5EAE7002"/>
    <w:rsid w:val="5EE578CE"/>
    <w:rsid w:val="5EE7757D"/>
    <w:rsid w:val="5EF84876"/>
    <w:rsid w:val="5F4B7951"/>
    <w:rsid w:val="5F63605C"/>
    <w:rsid w:val="5F797C86"/>
    <w:rsid w:val="60381A6D"/>
    <w:rsid w:val="60633128"/>
    <w:rsid w:val="60D01E8A"/>
    <w:rsid w:val="615A400F"/>
    <w:rsid w:val="61842A56"/>
    <w:rsid w:val="61A30FEA"/>
    <w:rsid w:val="61E46E4D"/>
    <w:rsid w:val="621243C2"/>
    <w:rsid w:val="62A62E56"/>
    <w:rsid w:val="62EA49F7"/>
    <w:rsid w:val="633F2F95"/>
    <w:rsid w:val="63422A85"/>
    <w:rsid w:val="63565D5B"/>
    <w:rsid w:val="63A82C36"/>
    <w:rsid w:val="63DF4C7D"/>
    <w:rsid w:val="640815D9"/>
    <w:rsid w:val="64104931"/>
    <w:rsid w:val="64524F4A"/>
    <w:rsid w:val="64AD68B8"/>
    <w:rsid w:val="64FB2EEB"/>
    <w:rsid w:val="652E32C1"/>
    <w:rsid w:val="652F1D8E"/>
    <w:rsid w:val="664B47CE"/>
    <w:rsid w:val="66FB5425"/>
    <w:rsid w:val="67712886"/>
    <w:rsid w:val="67AF051E"/>
    <w:rsid w:val="67E73BFB"/>
    <w:rsid w:val="682806E6"/>
    <w:rsid w:val="68841AB2"/>
    <w:rsid w:val="69490B3D"/>
    <w:rsid w:val="69767582"/>
    <w:rsid w:val="699B2EEF"/>
    <w:rsid w:val="699D6C2F"/>
    <w:rsid w:val="69B91536"/>
    <w:rsid w:val="69C2047C"/>
    <w:rsid w:val="6A4175F2"/>
    <w:rsid w:val="6A482675"/>
    <w:rsid w:val="6A7C4ACE"/>
    <w:rsid w:val="6ABF49BB"/>
    <w:rsid w:val="6AC64640"/>
    <w:rsid w:val="6AE30927"/>
    <w:rsid w:val="6B150586"/>
    <w:rsid w:val="6B4750DC"/>
    <w:rsid w:val="6B713F61"/>
    <w:rsid w:val="6B757D47"/>
    <w:rsid w:val="6B790B50"/>
    <w:rsid w:val="6BA86CC4"/>
    <w:rsid w:val="6BE75F78"/>
    <w:rsid w:val="6BFF59B7"/>
    <w:rsid w:val="6C002AEE"/>
    <w:rsid w:val="6C1D5E3D"/>
    <w:rsid w:val="6C3118E9"/>
    <w:rsid w:val="6C3F67D7"/>
    <w:rsid w:val="6C4338D0"/>
    <w:rsid w:val="6C5A2BED"/>
    <w:rsid w:val="6C614A9D"/>
    <w:rsid w:val="6DAE6398"/>
    <w:rsid w:val="6E096679"/>
    <w:rsid w:val="6E5A6ED5"/>
    <w:rsid w:val="6E606C6A"/>
    <w:rsid w:val="6E8E4DD0"/>
    <w:rsid w:val="6EAD088B"/>
    <w:rsid w:val="6EB64EED"/>
    <w:rsid w:val="6EBE2151"/>
    <w:rsid w:val="6EE745E8"/>
    <w:rsid w:val="6F280D81"/>
    <w:rsid w:val="6F944668"/>
    <w:rsid w:val="6F96218E"/>
    <w:rsid w:val="6FF055CD"/>
    <w:rsid w:val="6FF60E7F"/>
    <w:rsid w:val="701A086B"/>
    <w:rsid w:val="70221C74"/>
    <w:rsid w:val="702459EC"/>
    <w:rsid w:val="706E5298"/>
    <w:rsid w:val="7073249D"/>
    <w:rsid w:val="707738FE"/>
    <w:rsid w:val="70D901AC"/>
    <w:rsid w:val="70F03B20"/>
    <w:rsid w:val="71351114"/>
    <w:rsid w:val="714107CD"/>
    <w:rsid w:val="714D3EFB"/>
    <w:rsid w:val="715177D6"/>
    <w:rsid w:val="720F447A"/>
    <w:rsid w:val="725065CC"/>
    <w:rsid w:val="730B47C3"/>
    <w:rsid w:val="730E4732"/>
    <w:rsid w:val="73133AF6"/>
    <w:rsid w:val="73772D8B"/>
    <w:rsid w:val="73966C01"/>
    <w:rsid w:val="73A274B8"/>
    <w:rsid w:val="73B61051"/>
    <w:rsid w:val="73C848E1"/>
    <w:rsid w:val="73C92407"/>
    <w:rsid w:val="74143FCA"/>
    <w:rsid w:val="743537D9"/>
    <w:rsid w:val="74534AF2"/>
    <w:rsid w:val="747C271B"/>
    <w:rsid w:val="748A3245"/>
    <w:rsid w:val="74B33D46"/>
    <w:rsid w:val="74D84FF7"/>
    <w:rsid w:val="74E97AAC"/>
    <w:rsid w:val="75183646"/>
    <w:rsid w:val="75671ED7"/>
    <w:rsid w:val="75862CA5"/>
    <w:rsid w:val="758C5085"/>
    <w:rsid w:val="75973F1C"/>
    <w:rsid w:val="75CD4430"/>
    <w:rsid w:val="75E654F2"/>
    <w:rsid w:val="761958C7"/>
    <w:rsid w:val="767B724B"/>
    <w:rsid w:val="76B84BD8"/>
    <w:rsid w:val="76CE1CFB"/>
    <w:rsid w:val="77040325"/>
    <w:rsid w:val="77250B48"/>
    <w:rsid w:val="773724A9"/>
    <w:rsid w:val="77774E4E"/>
    <w:rsid w:val="77822FF8"/>
    <w:rsid w:val="77C82A09"/>
    <w:rsid w:val="77DC6BAC"/>
    <w:rsid w:val="780307B5"/>
    <w:rsid w:val="78297D7A"/>
    <w:rsid w:val="782E70AC"/>
    <w:rsid w:val="78810F3B"/>
    <w:rsid w:val="78AA726C"/>
    <w:rsid w:val="78AF2CDD"/>
    <w:rsid w:val="78EC72C3"/>
    <w:rsid w:val="790939D1"/>
    <w:rsid w:val="791A3E30"/>
    <w:rsid w:val="791D122B"/>
    <w:rsid w:val="792E51E6"/>
    <w:rsid w:val="79556C16"/>
    <w:rsid w:val="797E1B0E"/>
    <w:rsid w:val="79991A87"/>
    <w:rsid w:val="79B37DE1"/>
    <w:rsid w:val="79B853F7"/>
    <w:rsid w:val="7A344A7E"/>
    <w:rsid w:val="7A434CC1"/>
    <w:rsid w:val="7A6D1D3E"/>
    <w:rsid w:val="7A731BC2"/>
    <w:rsid w:val="7A7E03EF"/>
    <w:rsid w:val="7A8678FD"/>
    <w:rsid w:val="7AA47B37"/>
    <w:rsid w:val="7ADB6D3D"/>
    <w:rsid w:val="7B5147E3"/>
    <w:rsid w:val="7B5B420B"/>
    <w:rsid w:val="7B967374"/>
    <w:rsid w:val="7BE32CD0"/>
    <w:rsid w:val="7BEB0ED3"/>
    <w:rsid w:val="7C044DD4"/>
    <w:rsid w:val="7C122B9D"/>
    <w:rsid w:val="7C29438A"/>
    <w:rsid w:val="7C376AA7"/>
    <w:rsid w:val="7C5E5EF9"/>
    <w:rsid w:val="7CC5735A"/>
    <w:rsid w:val="7CEB0E7E"/>
    <w:rsid w:val="7D1F5B74"/>
    <w:rsid w:val="7D241B64"/>
    <w:rsid w:val="7D586CD5"/>
    <w:rsid w:val="7D5B24AC"/>
    <w:rsid w:val="7D673DDE"/>
    <w:rsid w:val="7D807FDA"/>
    <w:rsid w:val="7DAA32A9"/>
    <w:rsid w:val="7EB110F0"/>
    <w:rsid w:val="7F2A1614"/>
    <w:rsid w:val="7F3217A8"/>
    <w:rsid w:val="7F671451"/>
    <w:rsid w:val="7F803A5E"/>
    <w:rsid w:val="7FAE28CB"/>
    <w:rsid w:val="7FE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200" w:firstLineChars="200"/>
      <w:jc w:val="both"/>
    </w:pPr>
    <w:rPr>
      <w:rFonts w:ascii="Times New Roman" w:hAnsi="Times New Roman" w:eastAsia="仿宋_GB2312" w:cs="Times New Roman"/>
      <w:kern w:val="2"/>
      <w:sz w:val="28"/>
      <w:szCs w:val="24"/>
      <w:lang w:val="en-US" w:eastAsia="zh-CN" w:bidi="ar-SA"/>
    </w:rPr>
  </w:style>
  <w:style w:type="paragraph" w:styleId="2">
    <w:name w:val="heading 1"/>
    <w:basedOn w:val="1"/>
    <w:next w:val="1"/>
    <w:link w:val="41"/>
    <w:autoRedefine/>
    <w:qFormat/>
    <w:uiPriority w:val="0"/>
    <w:pPr>
      <w:keepNext/>
      <w:keepLines/>
      <w:spacing w:before="340" w:after="330" w:line="578" w:lineRule="auto"/>
      <w:outlineLvl w:val="0"/>
    </w:pPr>
    <w:rPr>
      <w:kern w:val="44"/>
      <w:sz w:val="44"/>
      <w:szCs w:val="44"/>
    </w:rPr>
  </w:style>
  <w:style w:type="paragraph" w:styleId="3">
    <w:name w:val="heading 2"/>
    <w:basedOn w:val="1"/>
    <w:next w:val="1"/>
    <w:link w:val="42"/>
    <w:autoRedefine/>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59"/>
    <w:qFormat/>
    <w:uiPriority w:val="0"/>
    <w:pPr>
      <w:keepNext/>
      <w:keepLines/>
      <w:spacing w:line="560" w:lineRule="exact"/>
      <w:ind w:firstLine="0" w:firstLineChars="0"/>
      <w:outlineLvl w:val="2"/>
    </w:pPr>
    <w:rPr>
      <w:rFonts w:ascii="Arial" w:hAnsi="Arial" w:eastAsia="方正小标宋_GBK"/>
      <w:bCs/>
      <w:kern w:val="0"/>
      <w:szCs w:val="32"/>
    </w:rPr>
  </w:style>
  <w:style w:type="paragraph" w:styleId="5">
    <w:name w:val="heading 4"/>
    <w:basedOn w:val="1"/>
    <w:next w:val="6"/>
    <w:link w:val="60"/>
    <w:autoRedefine/>
    <w:qFormat/>
    <w:uiPriority w:val="0"/>
    <w:pPr>
      <w:keepNext/>
      <w:keepLines/>
      <w:spacing w:line="560" w:lineRule="exact"/>
      <w:ind w:firstLine="0" w:firstLineChars="0"/>
      <w:outlineLvl w:val="3"/>
    </w:pPr>
    <w:rPr>
      <w:rFonts w:ascii="Arial" w:hAnsi="Arial" w:eastAsia="宋体"/>
      <w:bCs/>
      <w:kern w:val="0"/>
      <w:szCs w:val="28"/>
    </w:rPr>
  </w:style>
  <w:style w:type="character" w:default="1" w:styleId="25">
    <w:name w:val="Default Paragraph Font"/>
    <w:semiHidden/>
    <w:unhideWhenUsed/>
    <w:qFormat/>
    <w:uiPriority w:val="1"/>
  </w:style>
  <w:style w:type="table" w:default="1" w:styleId="23">
    <w:name w:val="Normal Table"/>
    <w:autoRedefine/>
    <w:semiHidden/>
    <w:unhideWhenUsed/>
    <w:qFormat/>
    <w:uiPriority w:val="99"/>
    <w:tblPr>
      <w:tblCellMar>
        <w:top w:w="0" w:type="dxa"/>
        <w:left w:w="108" w:type="dxa"/>
        <w:bottom w:w="0" w:type="dxa"/>
        <w:right w:w="108" w:type="dxa"/>
      </w:tblCellMar>
    </w:tblPr>
  </w:style>
  <w:style w:type="paragraph" w:customStyle="1" w:styleId="6">
    <w:name w:val="※中文段落（P）"/>
    <w:basedOn w:val="7"/>
    <w:link w:val="62"/>
    <w:autoRedefine/>
    <w:qFormat/>
    <w:uiPriority w:val="0"/>
    <w:pPr>
      <w:tabs>
        <w:tab w:val="left" w:pos="420"/>
      </w:tabs>
      <w:spacing w:line="560" w:lineRule="exact"/>
    </w:pPr>
    <w:rPr>
      <w:rFonts w:ascii="仿宋_GB2312" w:cs="Arial Unicode MS"/>
      <w:kern w:val="0"/>
      <w:szCs w:val="28"/>
    </w:rPr>
  </w:style>
  <w:style w:type="paragraph" w:styleId="7">
    <w:name w:val="Body Text"/>
    <w:basedOn w:val="1"/>
    <w:link w:val="46"/>
    <w:autoRedefine/>
    <w:semiHidden/>
    <w:unhideWhenUsed/>
    <w:qFormat/>
    <w:uiPriority w:val="99"/>
    <w:pPr>
      <w:spacing w:after="120"/>
    </w:pPr>
  </w:style>
  <w:style w:type="paragraph" w:styleId="8">
    <w:name w:val="Normal Indent"/>
    <w:basedOn w:val="1"/>
    <w:link w:val="65"/>
    <w:qFormat/>
    <w:uiPriority w:val="0"/>
    <w:pPr>
      <w:spacing w:line="240" w:lineRule="auto"/>
      <w:ind w:firstLine="420" w:firstLineChars="0"/>
    </w:pPr>
    <w:rPr>
      <w:rFonts w:eastAsia="宋体"/>
      <w:szCs w:val="20"/>
    </w:rPr>
  </w:style>
  <w:style w:type="paragraph" w:styleId="9">
    <w:name w:val="caption"/>
    <w:basedOn w:val="1"/>
    <w:next w:val="1"/>
    <w:autoRedefine/>
    <w:semiHidden/>
    <w:unhideWhenUsed/>
    <w:qFormat/>
    <w:uiPriority w:val="35"/>
    <w:rPr>
      <w:rFonts w:eastAsia="黑体" w:asciiTheme="majorHAnsi" w:hAnsiTheme="majorHAnsi" w:cstheme="majorBidi"/>
      <w:sz w:val="20"/>
      <w:szCs w:val="20"/>
    </w:rPr>
  </w:style>
  <w:style w:type="paragraph" w:styleId="10">
    <w:name w:val="annotation text"/>
    <w:basedOn w:val="1"/>
    <w:link w:val="56"/>
    <w:autoRedefine/>
    <w:unhideWhenUsed/>
    <w:qFormat/>
    <w:uiPriority w:val="99"/>
    <w:pPr>
      <w:jc w:val="left"/>
    </w:pPr>
  </w:style>
  <w:style w:type="paragraph" w:styleId="11">
    <w:name w:val="Body Text Indent"/>
    <w:basedOn w:val="1"/>
    <w:qFormat/>
    <w:uiPriority w:val="99"/>
    <w:pPr>
      <w:spacing w:after="120"/>
      <w:ind w:left="420" w:leftChars="200"/>
    </w:pPr>
  </w:style>
  <w:style w:type="paragraph" w:styleId="12">
    <w:name w:val="toc 3"/>
    <w:basedOn w:val="1"/>
    <w:next w:val="1"/>
    <w:autoRedefine/>
    <w:qFormat/>
    <w:uiPriority w:val="0"/>
    <w:pPr>
      <w:tabs>
        <w:tab w:val="right" w:leader="dot" w:pos="9180"/>
      </w:tabs>
      <w:ind w:right="338" w:rightChars="161" w:firstLine="0" w:firstLineChars="0"/>
      <w:jc w:val="center"/>
    </w:pPr>
    <w:rPr>
      <w:rFonts w:ascii="仿宋_GB2312" w:hAnsi="宋体"/>
      <w:iCs/>
      <w:sz w:val="36"/>
      <w:szCs w:val="36"/>
    </w:rPr>
  </w:style>
  <w:style w:type="paragraph" w:styleId="13">
    <w:name w:val="Plain Text"/>
    <w:basedOn w:val="1"/>
    <w:link w:val="32"/>
    <w:autoRedefine/>
    <w:unhideWhenUsed/>
    <w:qFormat/>
    <w:uiPriority w:val="0"/>
    <w:pPr>
      <w:spacing w:line="240" w:lineRule="auto"/>
      <w:ind w:firstLine="0" w:firstLineChars="0"/>
    </w:pPr>
    <w:rPr>
      <w:rFonts w:ascii="宋体" w:hAnsi="Courier New" w:eastAsia="宋体"/>
      <w:sz w:val="21"/>
      <w:szCs w:val="20"/>
    </w:rPr>
  </w:style>
  <w:style w:type="paragraph" w:styleId="14">
    <w:name w:val="Balloon Text"/>
    <w:basedOn w:val="1"/>
    <w:link w:val="34"/>
    <w:autoRedefine/>
    <w:semiHidden/>
    <w:unhideWhenUsed/>
    <w:qFormat/>
    <w:uiPriority w:val="99"/>
    <w:pPr>
      <w:spacing w:line="240" w:lineRule="auto"/>
    </w:pPr>
    <w:rPr>
      <w:sz w:val="18"/>
      <w:szCs w:val="18"/>
    </w:rPr>
  </w:style>
  <w:style w:type="paragraph" w:styleId="15">
    <w:name w:val="footer"/>
    <w:basedOn w:val="1"/>
    <w:link w:val="31"/>
    <w:autoRedefine/>
    <w:unhideWhenUsed/>
    <w:qFormat/>
    <w:uiPriority w:val="0"/>
    <w:pPr>
      <w:tabs>
        <w:tab w:val="center" w:pos="4153"/>
        <w:tab w:val="right" w:pos="8306"/>
      </w:tabs>
      <w:snapToGrid w:val="0"/>
      <w:spacing w:line="240" w:lineRule="auto"/>
      <w:jc w:val="left"/>
    </w:pPr>
    <w:rPr>
      <w:sz w:val="18"/>
      <w:szCs w:val="18"/>
    </w:rPr>
  </w:style>
  <w:style w:type="paragraph" w:styleId="16">
    <w:name w:val="header"/>
    <w:basedOn w:val="1"/>
    <w:link w:val="30"/>
    <w:autoRedefine/>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7">
    <w:name w:val="toc 2"/>
    <w:basedOn w:val="1"/>
    <w:next w:val="1"/>
    <w:autoRedefine/>
    <w:semiHidden/>
    <w:unhideWhenUsed/>
    <w:qFormat/>
    <w:uiPriority w:val="39"/>
    <w:pPr>
      <w:ind w:left="420" w:leftChars="200"/>
    </w:pPr>
  </w:style>
  <w:style w:type="paragraph" w:styleId="18">
    <w:name w:val="Normal (Web)"/>
    <w:basedOn w:val="1"/>
    <w:autoRedefine/>
    <w:semiHidden/>
    <w:unhideWhenUsed/>
    <w:qFormat/>
    <w:uiPriority w:val="99"/>
    <w:pPr>
      <w:widowControl/>
      <w:spacing w:before="100" w:beforeAutospacing="1" w:after="100" w:afterAutospacing="1" w:line="240" w:lineRule="auto"/>
      <w:ind w:firstLine="0" w:firstLineChars="0"/>
      <w:jc w:val="left"/>
    </w:pPr>
    <w:rPr>
      <w:rFonts w:ascii="宋体" w:hAnsi="宋体" w:eastAsia="宋体" w:cs="宋体"/>
      <w:kern w:val="0"/>
      <w:sz w:val="24"/>
    </w:rPr>
  </w:style>
  <w:style w:type="paragraph" w:styleId="19">
    <w:name w:val="Title"/>
    <w:basedOn w:val="1"/>
    <w:next w:val="1"/>
    <w:autoRedefine/>
    <w:qFormat/>
    <w:uiPriority w:val="0"/>
    <w:pPr>
      <w:spacing w:line="720" w:lineRule="auto"/>
      <w:jc w:val="center"/>
      <w:outlineLvl w:val="0"/>
    </w:pPr>
    <w:rPr>
      <w:rFonts w:ascii="Cambria" w:hAnsi="Cambria" w:eastAsia="宋体"/>
      <w:b/>
      <w:bCs/>
      <w:sz w:val="52"/>
      <w:szCs w:val="32"/>
    </w:rPr>
  </w:style>
  <w:style w:type="paragraph" w:styleId="20">
    <w:name w:val="annotation subject"/>
    <w:basedOn w:val="10"/>
    <w:next w:val="10"/>
    <w:link w:val="57"/>
    <w:autoRedefine/>
    <w:semiHidden/>
    <w:unhideWhenUsed/>
    <w:qFormat/>
    <w:uiPriority w:val="99"/>
    <w:rPr>
      <w:b/>
      <w:bCs/>
    </w:rPr>
  </w:style>
  <w:style w:type="paragraph" w:styleId="21">
    <w:name w:val="Body Text First Indent"/>
    <w:basedOn w:val="7"/>
    <w:next w:val="1"/>
    <w:link w:val="64"/>
    <w:autoRedefine/>
    <w:semiHidden/>
    <w:unhideWhenUsed/>
    <w:qFormat/>
    <w:uiPriority w:val="99"/>
    <w:pPr>
      <w:ind w:firstLine="420" w:firstLineChars="100"/>
    </w:pPr>
  </w:style>
  <w:style w:type="paragraph" w:styleId="22">
    <w:name w:val="Body Text First Indent 2"/>
    <w:basedOn w:val="11"/>
    <w:autoRedefine/>
    <w:qFormat/>
    <w:uiPriority w:val="99"/>
    <w:pPr>
      <w:ind w:firstLine="420"/>
    </w:pPr>
  </w:style>
  <w:style w:type="table" w:styleId="24">
    <w:name w:val="Table Grid"/>
    <w:basedOn w:val="23"/>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autoRedefine/>
    <w:qFormat/>
    <w:uiPriority w:val="99"/>
    <w:rPr>
      <w:color w:val="0000FF"/>
      <w:u w:val="single"/>
    </w:rPr>
  </w:style>
  <w:style w:type="character" w:styleId="27">
    <w:name w:val="annotation reference"/>
    <w:basedOn w:val="25"/>
    <w:autoRedefine/>
    <w:semiHidden/>
    <w:unhideWhenUsed/>
    <w:qFormat/>
    <w:uiPriority w:val="99"/>
    <w:rPr>
      <w:sz w:val="21"/>
      <w:szCs w:val="21"/>
    </w:rPr>
  </w:style>
  <w:style w:type="character" w:styleId="28">
    <w:name w:val="footnote reference"/>
    <w:autoRedefine/>
    <w:qFormat/>
    <w:uiPriority w:val="0"/>
    <w:rPr>
      <w:vertAlign w:val="superscript"/>
    </w:rPr>
  </w:style>
  <w:style w:type="paragraph" w:customStyle="1" w:styleId="29">
    <w:name w:val="正文缩2"/>
    <w:autoRedefine/>
    <w:qFormat/>
    <w:uiPriority w:val="0"/>
    <w:pPr>
      <w:spacing w:line="360" w:lineRule="auto"/>
      <w:ind w:firstLine="240" w:firstLineChars="100"/>
    </w:pPr>
    <w:rPr>
      <w:rFonts w:ascii="Times New Roman" w:hAnsi="Times New Roman" w:eastAsia="宋体" w:cs="Times New Roman"/>
      <w:color w:val="FF0000"/>
      <w:sz w:val="24"/>
      <w:szCs w:val="24"/>
      <w:lang w:val="en-US" w:eastAsia="zh-CN" w:bidi="ar-SA"/>
    </w:rPr>
  </w:style>
  <w:style w:type="character" w:customStyle="1" w:styleId="30">
    <w:name w:val="页眉 字符"/>
    <w:basedOn w:val="25"/>
    <w:link w:val="16"/>
    <w:autoRedefine/>
    <w:qFormat/>
    <w:uiPriority w:val="99"/>
    <w:rPr>
      <w:rFonts w:ascii="Times New Roman" w:hAnsi="Times New Roman" w:eastAsia="仿宋_GB2312" w:cs="Times New Roman"/>
      <w:sz w:val="18"/>
      <w:szCs w:val="18"/>
    </w:rPr>
  </w:style>
  <w:style w:type="character" w:customStyle="1" w:styleId="31">
    <w:name w:val="页脚 字符"/>
    <w:basedOn w:val="25"/>
    <w:link w:val="15"/>
    <w:autoRedefine/>
    <w:qFormat/>
    <w:uiPriority w:val="0"/>
    <w:rPr>
      <w:rFonts w:ascii="Times New Roman" w:hAnsi="Times New Roman" w:eastAsia="仿宋_GB2312" w:cs="Times New Roman"/>
      <w:sz w:val="18"/>
      <w:szCs w:val="18"/>
    </w:rPr>
  </w:style>
  <w:style w:type="character" w:customStyle="1" w:styleId="32">
    <w:name w:val="纯文本 字符1"/>
    <w:basedOn w:val="25"/>
    <w:link w:val="13"/>
    <w:autoRedefine/>
    <w:qFormat/>
    <w:locked/>
    <w:uiPriority w:val="0"/>
    <w:rPr>
      <w:rFonts w:ascii="宋体" w:hAnsi="Courier New" w:eastAsia="宋体" w:cs="Times New Roman"/>
      <w:szCs w:val="20"/>
    </w:rPr>
  </w:style>
  <w:style w:type="character" w:customStyle="1" w:styleId="33">
    <w:name w:val="纯文本 字符"/>
    <w:basedOn w:val="25"/>
    <w:autoRedefine/>
    <w:semiHidden/>
    <w:qFormat/>
    <w:uiPriority w:val="99"/>
    <w:rPr>
      <w:rFonts w:hAnsi="Courier New" w:cs="Courier New" w:asciiTheme="minorEastAsia"/>
      <w:sz w:val="28"/>
      <w:szCs w:val="24"/>
    </w:rPr>
  </w:style>
  <w:style w:type="character" w:customStyle="1" w:styleId="34">
    <w:name w:val="批注框文本 字符"/>
    <w:basedOn w:val="25"/>
    <w:link w:val="14"/>
    <w:autoRedefine/>
    <w:semiHidden/>
    <w:qFormat/>
    <w:uiPriority w:val="99"/>
    <w:rPr>
      <w:rFonts w:ascii="Times New Roman" w:hAnsi="Times New Roman" w:eastAsia="仿宋_GB2312" w:cs="Times New Roman"/>
      <w:sz w:val="18"/>
      <w:szCs w:val="18"/>
    </w:rPr>
  </w:style>
  <w:style w:type="paragraph" w:styleId="35">
    <w:name w:val="List Paragraph"/>
    <w:basedOn w:val="1"/>
    <w:link w:val="48"/>
    <w:autoRedefine/>
    <w:qFormat/>
    <w:uiPriority w:val="34"/>
    <w:pPr>
      <w:ind w:firstLine="420"/>
    </w:pPr>
  </w:style>
  <w:style w:type="paragraph" w:customStyle="1" w:styleId="36">
    <w:name w:val="正文xxx"/>
    <w:basedOn w:val="1"/>
    <w:link w:val="37"/>
    <w:autoRedefine/>
    <w:qFormat/>
    <w:uiPriority w:val="0"/>
    <w:pPr>
      <w:ind w:firstLine="560" w:firstLineChars="0"/>
    </w:pPr>
    <w:rPr>
      <w:rFonts w:ascii="宋体" w:hAnsi="宋体" w:eastAsia="宋体"/>
      <w:color w:val="000000"/>
      <w:szCs w:val="28"/>
      <w:lang w:val="zh-CN"/>
    </w:rPr>
  </w:style>
  <w:style w:type="character" w:customStyle="1" w:styleId="37">
    <w:name w:val="正文xxx Char"/>
    <w:link w:val="36"/>
    <w:autoRedefine/>
    <w:qFormat/>
    <w:uiPriority w:val="0"/>
    <w:rPr>
      <w:rFonts w:ascii="宋体" w:hAnsi="宋体" w:eastAsia="宋体" w:cs="Times New Roman"/>
      <w:color w:val="000000"/>
      <w:sz w:val="28"/>
      <w:szCs w:val="28"/>
      <w:lang w:val="zh-CN" w:eastAsia="zh-CN"/>
    </w:rPr>
  </w:style>
  <w:style w:type="paragraph" w:customStyle="1" w:styleId="38">
    <w:name w:val="222二级标题"/>
    <w:basedOn w:val="1"/>
    <w:link w:val="39"/>
    <w:autoRedefine/>
    <w:qFormat/>
    <w:uiPriority w:val="0"/>
    <w:pPr>
      <w:spacing w:after="50" w:afterLines="50"/>
      <w:ind w:firstLine="0" w:firstLineChars="0"/>
      <w:outlineLvl w:val="1"/>
    </w:pPr>
    <w:rPr>
      <w:rFonts w:ascii="黑体" w:eastAsia="黑体"/>
      <w:b/>
      <w:szCs w:val="32"/>
      <w:lang w:val="zh-CN"/>
    </w:rPr>
  </w:style>
  <w:style w:type="character" w:customStyle="1" w:styleId="39">
    <w:name w:val="222二级标题 Char"/>
    <w:link w:val="38"/>
    <w:autoRedefine/>
    <w:qFormat/>
    <w:uiPriority w:val="0"/>
    <w:rPr>
      <w:rFonts w:ascii="黑体" w:hAnsi="Times New Roman" w:eastAsia="黑体" w:cs="Times New Roman"/>
      <w:b/>
      <w:sz w:val="28"/>
      <w:szCs w:val="32"/>
      <w:lang w:val="zh-CN" w:eastAsia="zh-CN"/>
    </w:rPr>
  </w:style>
  <w:style w:type="paragraph" w:customStyle="1" w:styleId="40">
    <w:name w:val="样式 标题 1H1h1PIM 1Title1l11st levelSection HeadSec1h111s...1"/>
    <w:basedOn w:val="2"/>
    <w:autoRedefine/>
    <w:qFormat/>
    <w:uiPriority w:val="0"/>
    <w:pPr>
      <w:spacing w:before="0" w:after="0" w:line="360" w:lineRule="auto"/>
      <w:ind w:firstLine="0" w:firstLineChars="0"/>
    </w:pPr>
    <w:rPr>
      <w:rFonts w:eastAsia="黑体" w:cs="宋体"/>
      <w:sz w:val="32"/>
      <w:szCs w:val="20"/>
    </w:rPr>
  </w:style>
  <w:style w:type="character" w:customStyle="1" w:styleId="41">
    <w:name w:val="标题 1 字符"/>
    <w:basedOn w:val="25"/>
    <w:link w:val="2"/>
    <w:qFormat/>
    <w:uiPriority w:val="9"/>
    <w:rPr>
      <w:rFonts w:ascii="Times New Roman" w:hAnsi="Times New Roman" w:eastAsia="仿宋_GB2312" w:cs="Times New Roman"/>
      <w:b/>
      <w:bCs/>
      <w:kern w:val="44"/>
      <w:sz w:val="44"/>
      <w:szCs w:val="44"/>
    </w:rPr>
  </w:style>
  <w:style w:type="character" w:customStyle="1" w:styleId="42">
    <w:name w:val="标题 2 字符"/>
    <w:basedOn w:val="25"/>
    <w:link w:val="3"/>
    <w:autoRedefine/>
    <w:semiHidden/>
    <w:qFormat/>
    <w:uiPriority w:val="9"/>
    <w:rPr>
      <w:rFonts w:asciiTheme="majorHAnsi" w:hAnsiTheme="majorHAnsi" w:eastAsiaTheme="majorEastAsia" w:cstheme="majorBidi"/>
      <w:b/>
      <w:bCs/>
      <w:sz w:val="32"/>
      <w:szCs w:val="32"/>
    </w:rPr>
  </w:style>
  <w:style w:type="paragraph" w:customStyle="1" w:styleId="43">
    <w:name w:val="样式 样式 样式 样式 样式 首行缩进:  2 字符 段后: 7.8 磅 Char + 首行缩进:  2 字符 + 左侧:  2..."/>
    <w:basedOn w:val="1"/>
    <w:autoRedefine/>
    <w:qFormat/>
    <w:uiPriority w:val="0"/>
    <w:pPr>
      <w:ind w:firstLine="480"/>
      <w:jc w:val="left"/>
    </w:pPr>
    <w:rPr>
      <w:rFonts w:ascii="宋体" w:hAnsi="宋体" w:eastAsia="仿宋" w:cs="宋体"/>
      <w:color w:val="000000"/>
      <w:sz w:val="24"/>
      <w:szCs w:val="20"/>
    </w:rPr>
  </w:style>
  <w:style w:type="paragraph" w:customStyle="1" w:styleId="44">
    <w:name w:val="表格"/>
    <w:basedOn w:val="7"/>
    <w:link w:val="45"/>
    <w:autoRedefine/>
    <w:qFormat/>
    <w:uiPriority w:val="0"/>
    <w:pPr>
      <w:adjustRightInd w:val="0"/>
      <w:snapToGrid w:val="0"/>
      <w:spacing w:after="0" w:line="240" w:lineRule="atLeast"/>
      <w:ind w:firstLine="0" w:firstLineChars="0"/>
      <w:jc w:val="left"/>
    </w:pPr>
    <w:rPr>
      <w:rFonts w:ascii="仿宋_GB2312"/>
      <w:sz w:val="24"/>
      <w:szCs w:val="28"/>
    </w:rPr>
  </w:style>
  <w:style w:type="character" w:customStyle="1" w:styleId="45">
    <w:name w:val="表格 Char"/>
    <w:link w:val="44"/>
    <w:autoRedefine/>
    <w:qFormat/>
    <w:uiPriority w:val="0"/>
    <w:rPr>
      <w:rFonts w:ascii="仿宋_GB2312" w:hAnsi="Times New Roman" w:eastAsia="仿宋_GB2312" w:cs="Times New Roman"/>
      <w:sz w:val="24"/>
      <w:szCs w:val="28"/>
    </w:rPr>
  </w:style>
  <w:style w:type="character" w:customStyle="1" w:styleId="46">
    <w:name w:val="正文文本 字符"/>
    <w:basedOn w:val="25"/>
    <w:link w:val="7"/>
    <w:autoRedefine/>
    <w:semiHidden/>
    <w:qFormat/>
    <w:uiPriority w:val="99"/>
    <w:rPr>
      <w:rFonts w:ascii="Times New Roman" w:hAnsi="Times New Roman" w:eastAsia="仿宋_GB2312" w:cs="Times New Roman"/>
      <w:sz w:val="28"/>
      <w:szCs w:val="24"/>
    </w:rPr>
  </w:style>
  <w:style w:type="paragraph" w:customStyle="1" w:styleId="47">
    <w:name w:val="tit3"/>
    <w:basedOn w:val="1"/>
    <w:autoRedefine/>
    <w:qFormat/>
    <w:uiPriority w:val="0"/>
    <w:pPr>
      <w:widowControl/>
      <w:spacing w:before="100" w:beforeAutospacing="1" w:after="300" w:line="240" w:lineRule="auto"/>
      <w:ind w:firstLine="0" w:firstLineChars="0"/>
      <w:jc w:val="left"/>
    </w:pPr>
    <w:rPr>
      <w:rFonts w:ascii="宋体" w:hAnsi="宋体" w:eastAsia="宋体" w:cs="宋体"/>
      <w:color w:val="333333"/>
      <w:kern w:val="0"/>
      <w:sz w:val="45"/>
      <w:szCs w:val="45"/>
    </w:rPr>
  </w:style>
  <w:style w:type="character" w:customStyle="1" w:styleId="48">
    <w:name w:val="列表段落 字符"/>
    <w:link w:val="35"/>
    <w:autoRedefine/>
    <w:qFormat/>
    <w:uiPriority w:val="34"/>
    <w:rPr>
      <w:rFonts w:ascii="Times New Roman" w:hAnsi="Times New Roman" w:eastAsia="仿宋_GB2312" w:cs="Times New Roman"/>
      <w:sz w:val="28"/>
      <w:szCs w:val="24"/>
    </w:rPr>
  </w:style>
  <w:style w:type="paragraph" w:customStyle="1" w:styleId="49">
    <w:name w:val="表内"/>
    <w:basedOn w:val="1"/>
    <w:link w:val="50"/>
    <w:autoRedefine/>
    <w:qFormat/>
    <w:uiPriority w:val="0"/>
    <w:pPr>
      <w:spacing w:line="240" w:lineRule="auto"/>
      <w:ind w:firstLine="0" w:firstLineChars="0"/>
      <w:jc w:val="center"/>
    </w:pPr>
    <w:rPr>
      <w:rFonts w:ascii="宋体" w:hAnsi="宋体" w:eastAsia="宋体" w:cs="宋体"/>
      <w:color w:val="000000"/>
      <w:sz w:val="24"/>
    </w:rPr>
  </w:style>
  <w:style w:type="character" w:customStyle="1" w:styleId="50">
    <w:name w:val="表内 Char"/>
    <w:link w:val="49"/>
    <w:autoRedefine/>
    <w:qFormat/>
    <w:uiPriority w:val="0"/>
    <w:rPr>
      <w:rFonts w:ascii="宋体" w:hAnsi="宋体" w:eastAsia="宋体" w:cs="宋体"/>
      <w:color w:val="000000"/>
      <w:sz w:val="24"/>
      <w:szCs w:val="24"/>
    </w:rPr>
  </w:style>
  <w:style w:type="character" w:customStyle="1" w:styleId="51">
    <w:name w:val="表格内文 Char"/>
    <w:link w:val="52"/>
    <w:autoRedefine/>
    <w:qFormat/>
    <w:uiPriority w:val="0"/>
    <w:rPr>
      <w:szCs w:val="21"/>
    </w:rPr>
  </w:style>
  <w:style w:type="paragraph" w:customStyle="1" w:styleId="52">
    <w:name w:val="表格内文"/>
    <w:basedOn w:val="1"/>
    <w:link w:val="51"/>
    <w:autoRedefine/>
    <w:qFormat/>
    <w:uiPriority w:val="0"/>
    <w:pPr>
      <w:adjustRightInd w:val="0"/>
      <w:ind w:firstLine="0" w:firstLineChars="0"/>
      <w:jc w:val="center"/>
    </w:pPr>
    <w:rPr>
      <w:rFonts w:asciiTheme="minorHAnsi" w:hAnsiTheme="minorHAnsi" w:eastAsiaTheme="minorEastAsia" w:cstheme="minorBidi"/>
      <w:sz w:val="21"/>
      <w:szCs w:val="21"/>
    </w:rPr>
  </w:style>
  <w:style w:type="paragraph" w:customStyle="1" w:styleId="53">
    <w:name w:val="标题一"/>
    <w:basedOn w:val="2"/>
    <w:next w:val="54"/>
    <w:autoRedefine/>
    <w:qFormat/>
    <w:uiPriority w:val="0"/>
    <w:pPr>
      <w:spacing w:beforeLines="50" w:afterLines="50" w:line="500" w:lineRule="exact"/>
      <w:jc w:val="left"/>
    </w:pPr>
    <w:rPr>
      <w:sz w:val="30"/>
      <w:szCs w:val="30"/>
    </w:rPr>
  </w:style>
  <w:style w:type="paragraph" w:customStyle="1" w:styleId="54">
    <w:name w:val="xl3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55">
    <w:name w:val="正文F"/>
    <w:basedOn w:val="1"/>
    <w:qFormat/>
    <w:uiPriority w:val="0"/>
    <w:pPr>
      <w:spacing w:line="520" w:lineRule="exact"/>
      <w:jc w:val="left"/>
    </w:pPr>
    <w:rPr>
      <w:rFonts w:ascii="宋体" w:hAnsi="宋体" w:eastAsia="宋体"/>
      <w:szCs w:val="28"/>
    </w:rPr>
  </w:style>
  <w:style w:type="character" w:customStyle="1" w:styleId="56">
    <w:name w:val="批注文字 字符"/>
    <w:basedOn w:val="25"/>
    <w:link w:val="10"/>
    <w:autoRedefine/>
    <w:qFormat/>
    <w:uiPriority w:val="99"/>
    <w:rPr>
      <w:rFonts w:ascii="Times New Roman" w:hAnsi="Times New Roman" w:eastAsia="仿宋_GB2312" w:cs="Times New Roman"/>
      <w:kern w:val="2"/>
      <w:sz w:val="28"/>
      <w:szCs w:val="24"/>
    </w:rPr>
  </w:style>
  <w:style w:type="character" w:customStyle="1" w:styleId="57">
    <w:name w:val="批注主题 字符"/>
    <w:basedOn w:val="56"/>
    <w:link w:val="20"/>
    <w:autoRedefine/>
    <w:semiHidden/>
    <w:qFormat/>
    <w:uiPriority w:val="99"/>
    <w:rPr>
      <w:rFonts w:ascii="Times New Roman" w:hAnsi="Times New Roman" w:eastAsia="仿宋_GB2312" w:cs="Times New Roman"/>
      <w:b/>
      <w:bCs/>
      <w:kern w:val="2"/>
      <w:sz w:val="28"/>
      <w:szCs w:val="24"/>
    </w:rPr>
  </w:style>
  <w:style w:type="paragraph" w:customStyle="1" w:styleId="58">
    <w:name w:val="※表内五号"/>
    <w:autoRedefine/>
    <w:qFormat/>
    <w:uiPriority w:val="0"/>
    <w:pPr>
      <w:spacing w:line="0" w:lineRule="atLeast"/>
      <w:contextualSpacing/>
      <w:jc w:val="center"/>
    </w:pPr>
    <w:rPr>
      <w:rFonts w:ascii="楷体_GB2312" w:hAnsi="Times New Roman" w:eastAsia="楷体_GB2312" w:cs="Times New Roman"/>
      <w:sz w:val="21"/>
      <w:szCs w:val="24"/>
      <w:lang w:val="en-US" w:eastAsia="zh-CN" w:bidi="ar-SA"/>
    </w:rPr>
  </w:style>
  <w:style w:type="character" w:customStyle="1" w:styleId="59">
    <w:name w:val="标题 3 字符"/>
    <w:basedOn w:val="25"/>
    <w:link w:val="4"/>
    <w:autoRedefine/>
    <w:qFormat/>
    <w:uiPriority w:val="0"/>
    <w:rPr>
      <w:rFonts w:ascii="Arial" w:hAnsi="Arial" w:eastAsia="方正小标宋_GBK" w:cs="Times New Roman"/>
      <w:bCs/>
      <w:sz w:val="28"/>
      <w:szCs w:val="32"/>
    </w:rPr>
  </w:style>
  <w:style w:type="character" w:customStyle="1" w:styleId="60">
    <w:name w:val="标题 4 字符"/>
    <w:basedOn w:val="25"/>
    <w:link w:val="5"/>
    <w:autoRedefine/>
    <w:qFormat/>
    <w:uiPriority w:val="0"/>
    <w:rPr>
      <w:rFonts w:ascii="Arial" w:hAnsi="Arial" w:eastAsia="宋体" w:cs="Times New Roman"/>
      <w:bCs/>
      <w:sz w:val="28"/>
      <w:szCs w:val="28"/>
    </w:rPr>
  </w:style>
  <w:style w:type="paragraph" w:customStyle="1" w:styleId="61">
    <w:name w:val="※图名（I）"/>
    <w:basedOn w:val="9"/>
    <w:next w:val="6"/>
    <w:autoRedefine/>
    <w:qFormat/>
    <w:uiPriority w:val="0"/>
    <w:pPr>
      <w:tabs>
        <w:tab w:val="center" w:pos="4515"/>
        <w:tab w:val="right" w:pos="8925"/>
      </w:tabs>
      <w:spacing w:line="240" w:lineRule="auto"/>
      <w:ind w:firstLine="0" w:firstLineChars="0"/>
      <w:jc w:val="center"/>
      <w:outlineLvl w:val="7"/>
    </w:pPr>
    <w:rPr>
      <w:rFonts w:ascii="黑体" w:hAnsi="Arial" w:cs="Arial"/>
      <w:kern w:val="0"/>
      <w:sz w:val="24"/>
    </w:rPr>
  </w:style>
  <w:style w:type="character" w:customStyle="1" w:styleId="62">
    <w:name w:val="※中文段落（P） Char"/>
    <w:link w:val="6"/>
    <w:autoRedefine/>
    <w:qFormat/>
    <w:uiPriority w:val="0"/>
    <w:rPr>
      <w:rFonts w:ascii="仿宋_GB2312" w:hAnsi="Times New Roman" w:eastAsia="仿宋_GB2312" w:cs="Arial Unicode MS"/>
      <w:sz w:val="28"/>
      <w:szCs w:val="28"/>
    </w:rPr>
  </w:style>
  <w:style w:type="paragraph" w:customStyle="1" w:styleId="63">
    <w:name w:val="！正文"/>
    <w:basedOn w:val="1"/>
    <w:autoRedefine/>
    <w:qFormat/>
    <w:uiPriority w:val="0"/>
    <w:rPr>
      <w:rFonts w:ascii="仿宋_GB2312" w:hAnsi="仿宋_GB2312" w:cs="仿宋_GB2312"/>
      <w:kern w:val="0"/>
    </w:rPr>
  </w:style>
  <w:style w:type="character" w:customStyle="1" w:styleId="64">
    <w:name w:val="正文文本首行缩进 字符"/>
    <w:basedOn w:val="46"/>
    <w:link w:val="21"/>
    <w:autoRedefine/>
    <w:semiHidden/>
    <w:qFormat/>
    <w:uiPriority w:val="99"/>
    <w:rPr>
      <w:rFonts w:ascii="Times New Roman" w:hAnsi="Times New Roman" w:eastAsia="仿宋_GB2312" w:cs="Times New Roman"/>
      <w:kern w:val="2"/>
      <w:sz w:val="28"/>
      <w:szCs w:val="24"/>
    </w:rPr>
  </w:style>
  <w:style w:type="character" w:customStyle="1" w:styleId="65">
    <w:name w:val="正文缩进 字符"/>
    <w:link w:val="8"/>
    <w:autoRedefine/>
    <w:qFormat/>
    <w:uiPriority w:val="0"/>
    <w:rPr>
      <w:rFonts w:ascii="Times New Roman" w:hAnsi="Times New Roman" w:eastAsia="宋体" w:cs="Times New Roman"/>
      <w:kern w:val="2"/>
      <w:sz w:val="28"/>
    </w:rPr>
  </w:style>
  <w:style w:type="paragraph" w:styleId="66">
    <w:name w:val="No Spacing"/>
    <w:basedOn w:val="1"/>
    <w:next w:val="1"/>
    <w:autoRedefine/>
    <w:qFormat/>
    <w:uiPriority w:val="1"/>
    <w:pPr>
      <w:ind w:firstLine="0" w:firstLineChars="0"/>
      <w:jc w:val="center"/>
    </w:pPr>
    <w:rPr>
      <w:rFonts w:eastAsia="CMRID"/>
      <w:b/>
      <w:sz w:val="24"/>
      <w:szCs w:val="22"/>
    </w:rPr>
  </w:style>
  <w:style w:type="character" w:customStyle="1" w:styleId="67">
    <w:name w:val="font11"/>
    <w:basedOn w:val="25"/>
    <w:autoRedefine/>
    <w:qFormat/>
    <w:uiPriority w:val="0"/>
    <w:rPr>
      <w:rFonts w:hint="eastAsia" w:ascii="仿宋" w:hAnsi="仿宋" w:eastAsia="仿宋" w:cs="仿宋"/>
      <w:color w:val="000000"/>
      <w:sz w:val="21"/>
      <w:szCs w:val="21"/>
      <w:u w:val="none"/>
    </w:rPr>
  </w:style>
  <w:style w:type="paragraph" w:customStyle="1" w:styleId="68">
    <w:name w:val="正文FS"/>
    <w:basedOn w:val="1"/>
    <w:autoRedefine/>
    <w:qFormat/>
    <w:uiPriority w:val="0"/>
  </w:style>
  <w:style w:type="paragraph" w:customStyle="1" w:styleId="69">
    <w:name w:val="表1.1-1"/>
    <w:basedOn w:val="9"/>
    <w:next w:val="1"/>
    <w:autoRedefine/>
    <w:qFormat/>
    <w:uiPriority w:val="0"/>
    <w:pPr>
      <w:keepNext/>
      <w:tabs>
        <w:tab w:val="center" w:pos="4515"/>
        <w:tab w:val="right" w:pos="8925"/>
      </w:tabs>
      <w:spacing w:after="60" w:line="560" w:lineRule="exact"/>
      <w:outlineLvl w:val="6"/>
    </w:pPr>
    <w:rPr>
      <w:rFonts w:ascii="黑体" w:hAnsi="Arial" w:cs="Arial"/>
      <w:sz w:val="24"/>
    </w:rPr>
  </w:style>
  <w:style w:type="paragraph" w:customStyle="1" w:styleId="70">
    <w:name w:val="表格内容"/>
    <w:basedOn w:val="1"/>
    <w:autoRedefine/>
    <w:qFormat/>
    <w:uiPriority w:val="2"/>
    <w:pPr>
      <w:adjustRightInd w:val="0"/>
      <w:snapToGrid w:val="0"/>
      <w:spacing w:line="0" w:lineRule="atLeast"/>
    </w:pPr>
    <w:rPr>
      <w:rFonts w:ascii="楷体_GB2312" w:eastAsia="楷体_GB2312"/>
    </w:rPr>
  </w:style>
  <w:style w:type="paragraph" w:customStyle="1" w:styleId="71">
    <w:name w:val="插图（T）"/>
    <w:basedOn w:val="1"/>
    <w:next w:val="61"/>
    <w:autoRedefine/>
    <w:qFormat/>
    <w:uiPriority w:val="0"/>
    <w:pPr>
      <w:jc w:val="center"/>
    </w:pPr>
    <w:rPr>
      <w:rFonts w:ascii="黑体" w:eastAsia="黑体"/>
      <w:sz w:val="24"/>
    </w:rPr>
  </w:style>
  <w:style w:type="character" w:customStyle="1" w:styleId="72">
    <w:name w:val="15"/>
    <w:basedOn w:val="25"/>
    <w:autoRedefine/>
    <w:qFormat/>
    <w:uiPriority w:val="0"/>
    <w:rPr>
      <w:rFonts w:hint="default" w:ascii="Times New Roman" w:hAnsi="Times New Roman" w:cs="Times New Roman"/>
    </w:rPr>
  </w:style>
  <w:style w:type="paragraph" w:customStyle="1" w:styleId="73">
    <w:name w:val="！正文 Alt+0"/>
    <w:basedOn w:val="1"/>
    <w:autoRedefine/>
    <w:qFormat/>
    <w:uiPriority w:val="0"/>
    <w:pPr>
      <w:spacing w:line="240" w:lineRule="auto"/>
    </w:pPr>
    <w:rPr>
      <w:szCs w:val="28"/>
    </w:rPr>
  </w:style>
  <w:style w:type="paragraph" w:customStyle="1" w:styleId="74">
    <w:name w:val="图表标题"/>
    <w:basedOn w:val="1"/>
    <w:autoRedefine/>
    <w:qFormat/>
    <w:uiPriority w:val="0"/>
    <w:pPr>
      <w:spacing w:line="320" w:lineRule="exact"/>
      <w:ind w:firstLine="0" w:firstLineChars="0"/>
      <w:jc w:val="center"/>
    </w:pPr>
    <w:rPr>
      <w:rFonts w:ascii="Calibri" w:hAnsi="Calibri" w:eastAsia="Times New Roman"/>
      <w:sz w:val="21"/>
      <w:szCs w:val="22"/>
    </w:rPr>
  </w:style>
  <w:style w:type="table" w:customStyle="1" w:styleId="75">
    <w:name w:val="Table Normal"/>
    <w:unhideWhenUsed/>
    <w:qFormat/>
    <w:uiPriority w:val="0"/>
    <w:tblPr>
      <w:tblCellMar>
        <w:top w:w="0" w:type="dxa"/>
        <w:left w:w="0" w:type="dxa"/>
        <w:bottom w:w="0" w:type="dxa"/>
        <w:right w:w="0" w:type="dxa"/>
      </w:tblCellMar>
    </w:tblPr>
  </w:style>
  <w:style w:type="character" w:customStyle="1" w:styleId="76">
    <w:name w:val="font21"/>
    <w:basedOn w:val="25"/>
    <w:autoRedefine/>
    <w:qFormat/>
    <w:uiPriority w:val="0"/>
    <w:rPr>
      <w:rFonts w:hint="default" w:ascii="Times New Roman" w:hAnsi="Times New Roman" w:cs="Times New Roman"/>
      <w:color w:val="FF0000"/>
      <w:sz w:val="24"/>
      <w:szCs w:val="24"/>
      <w:u w:val="none"/>
    </w:rPr>
  </w:style>
  <w:style w:type="paragraph" w:customStyle="1" w:styleId="77">
    <w:name w:val="Default"/>
    <w:next w:val="1"/>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78">
    <w:name w:val="font31"/>
    <w:basedOn w:val="25"/>
    <w:autoRedefine/>
    <w:qFormat/>
    <w:uiPriority w:val="0"/>
    <w:rPr>
      <w:rFonts w:hint="eastAsia" w:ascii="宋体" w:hAnsi="宋体" w:eastAsia="宋体" w:cs="宋体"/>
      <w:color w:val="000000"/>
      <w:sz w:val="22"/>
      <w:szCs w:val="22"/>
      <w:u w:val="none"/>
    </w:rPr>
  </w:style>
  <w:style w:type="character" w:customStyle="1" w:styleId="79">
    <w:name w:val="font01"/>
    <w:basedOn w:val="25"/>
    <w:autoRedefine/>
    <w:qFormat/>
    <w:uiPriority w:val="0"/>
    <w:rPr>
      <w:rFonts w:hint="eastAsia" w:ascii="宋体" w:hAnsi="宋体" w:eastAsia="宋体" w:cs="宋体"/>
      <w:color w:val="000000"/>
      <w:sz w:val="22"/>
      <w:szCs w:val="22"/>
      <w:u w:val="none"/>
    </w:rPr>
  </w:style>
  <w:style w:type="character" w:customStyle="1" w:styleId="80">
    <w:name w:val="font41"/>
    <w:basedOn w:val="25"/>
    <w:autoRedefine/>
    <w:qFormat/>
    <w:uiPriority w:val="0"/>
    <w:rPr>
      <w:rFonts w:hint="eastAsia" w:ascii="宋体" w:hAnsi="宋体" w:eastAsia="宋体" w:cs="宋体"/>
      <w:color w:val="000000"/>
      <w:sz w:val="22"/>
      <w:szCs w:val="22"/>
      <w:u w:val="none"/>
    </w:rPr>
  </w:style>
  <w:style w:type="paragraph" w:customStyle="1" w:styleId="81">
    <w:name w:val="标准样式"/>
    <w:qFormat/>
    <w:uiPriority w:val="0"/>
    <w:pPr>
      <w:widowControl w:val="0"/>
      <w:spacing w:line="600" w:lineRule="exact"/>
      <w:ind w:firstLine="200" w:firstLineChars="200"/>
      <w:jc w:val="both"/>
    </w:pPr>
    <w:rPr>
      <w:rFonts w:ascii="Times New Roman" w:hAnsi="Times New Roman" w:eastAsia="宋体" w:cs="Times New Roman"/>
      <w:sz w:val="28"/>
      <w:szCs w:val="22"/>
      <w:lang w:val="en-US" w:eastAsia="zh-CN" w:bidi="ar-SA"/>
    </w:rPr>
  </w:style>
  <w:style w:type="character" w:customStyle="1" w:styleId="82">
    <w:name w:val="font61"/>
    <w:basedOn w:val="25"/>
    <w:qFormat/>
    <w:uiPriority w:val="0"/>
    <w:rPr>
      <w:rFonts w:hint="default" w:ascii="Times New Roman" w:hAnsi="Times New Roman" w:cs="Times New Roman"/>
      <w:color w:val="000000"/>
      <w:sz w:val="21"/>
      <w:szCs w:val="21"/>
      <w:u w:val="none"/>
    </w:rPr>
  </w:style>
  <w:style w:type="character" w:customStyle="1" w:styleId="83">
    <w:name w:val="font51"/>
    <w:basedOn w:val="25"/>
    <w:qFormat/>
    <w:uiPriority w:val="0"/>
    <w:rPr>
      <w:rFonts w:hint="default" w:ascii="Times New Roman" w:hAnsi="Times New Roman" w:cs="Times New Roman"/>
      <w:color w:val="000000"/>
      <w:sz w:val="22"/>
      <w:szCs w:val="22"/>
      <w:u w:val="none"/>
    </w:rPr>
  </w:style>
  <w:style w:type="paragraph" w:customStyle="1" w:styleId="84">
    <w:name w:val=" Char Char Char Char Char Char Char"/>
    <w:basedOn w:val="1"/>
    <w:qFormat/>
    <w:uiPriority w:val="0"/>
    <w:pPr>
      <w:widowControl/>
      <w:spacing w:after="160" w:afterLines="0" w:line="240" w:lineRule="exact"/>
      <w:jc w:val="left"/>
    </w:p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5.wmf"/><Relationship Id="rId13" Type="http://schemas.openxmlformats.org/officeDocument/2006/relationships/oleObject" Target="embeddings/oleObject2.bin"/><Relationship Id="rId12" Type="http://schemas.openxmlformats.org/officeDocument/2006/relationships/image" Target="media/image4.wmf"/><Relationship Id="rId11" Type="http://schemas.openxmlformats.org/officeDocument/2006/relationships/oleObject" Target="embeddings/oleObject1.bin"/><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47</Pages>
  <Words>14751</Words>
  <Characters>16656</Characters>
  <Lines>699</Lines>
  <Paragraphs>196</Paragraphs>
  <TotalTime>0</TotalTime>
  <ScaleCrop>false</ScaleCrop>
  <LinksUpToDate>false</LinksUpToDate>
  <CharactersWithSpaces>16675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2024-07-09T01:28:00Z</dcterms:created>
  <dc:creator>User</dc:creator>
  <cp:lastModifiedBy>白强</cp:lastModifiedBy>
  <cp:lastPrinted>2024-05-31T03:18:00Z</cp:lastPrinted>
  <dcterms:modified xsi:type="dcterms:W3CDTF">2025-04-18T07:02:07Z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224E8984FDB146409F9BC7CB1BF86933</vt:lpwstr>
  </property>
  <property fmtid="{D5CDD505-2E9C-101B-9397-08002B2CF9AE}" pid="4" name="KSOTemplateDocerSaveRecord">
    <vt:lpwstr>eyJoZGlkIjoiMjcwMTg4MDc3YmU3NjMzNjBkY2YxNWQxN2U3MGE4YmUiLCJ1c2VySWQiOiIzNzEyMzQyMDEifQ==</vt:lpwstr>
  </property>
</Properties>
</file>